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73" w:rsidRDefault="00FE5E73">
      <w:bookmarkStart w:id="0" w:name="_GoBack"/>
      <w:bookmarkEnd w:id="0"/>
      <w:r>
        <w:t>EA Matrix and Outline</w:t>
      </w:r>
    </w:p>
    <w:tbl>
      <w:tblPr>
        <w:tblStyle w:val="TableGrid"/>
        <w:tblpPr w:leftFromText="180" w:rightFromText="180" w:vertAnchor="text" w:tblpY="1"/>
        <w:tblOverlap w:val="never"/>
        <w:tblW w:w="11024" w:type="dxa"/>
        <w:tblLayout w:type="fixed"/>
        <w:tblLook w:val="04A0" w:firstRow="1" w:lastRow="0" w:firstColumn="1" w:lastColumn="0" w:noHBand="0" w:noVBand="1"/>
      </w:tblPr>
      <w:tblGrid>
        <w:gridCol w:w="2129"/>
        <w:gridCol w:w="1234"/>
        <w:gridCol w:w="1275"/>
        <w:gridCol w:w="1276"/>
        <w:gridCol w:w="6"/>
        <w:gridCol w:w="1276"/>
        <w:gridCol w:w="1276"/>
        <w:gridCol w:w="1276"/>
        <w:gridCol w:w="1276"/>
      </w:tblGrid>
      <w:tr w:rsidR="00CF6EC5" w:rsidTr="003837C6">
        <w:trPr>
          <w:tblHeader/>
        </w:trPr>
        <w:tc>
          <w:tcPr>
            <w:tcW w:w="2129" w:type="dxa"/>
            <w:shd w:val="clear" w:color="auto" w:fill="632423" w:themeFill="accent2" w:themeFillShade="80"/>
          </w:tcPr>
          <w:p w:rsidR="00CF6EC5" w:rsidRPr="00381A1A" w:rsidRDefault="00CF6EC5" w:rsidP="00CF6EC5">
            <w:pPr>
              <w:rPr>
                <w:b/>
                <w:sz w:val="18"/>
                <w:szCs w:val="18"/>
              </w:rPr>
            </w:pPr>
            <w:r w:rsidRPr="00381A1A">
              <w:rPr>
                <w:b/>
                <w:sz w:val="18"/>
                <w:szCs w:val="18"/>
              </w:rPr>
              <w:t>Particulars</w:t>
            </w:r>
          </w:p>
        </w:tc>
        <w:tc>
          <w:tcPr>
            <w:tcW w:w="1234" w:type="dxa"/>
            <w:shd w:val="clear" w:color="auto" w:fill="632423" w:themeFill="accent2" w:themeFillShade="80"/>
          </w:tcPr>
          <w:p w:rsidR="00CF6EC5" w:rsidRPr="00EB5AE0" w:rsidRDefault="00CF6EC5" w:rsidP="00CF6EC5">
            <w:pPr>
              <w:rPr>
                <w:b/>
                <w:sz w:val="18"/>
                <w:szCs w:val="18"/>
              </w:rPr>
            </w:pPr>
            <w:r w:rsidRPr="00EB5AE0">
              <w:rPr>
                <w:b/>
                <w:sz w:val="18"/>
                <w:szCs w:val="18"/>
              </w:rPr>
              <w:t>Indonesia</w:t>
            </w:r>
          </w:p>
        </w:tc>
        <w:tc>
          <w:tcPr>
            <w:tcW w:w="1275" w:type="dxa"/>
            <w:shd w:val="clear" w:color="auto" w:fill="632423" w:themeFill="accent2" w:themeFillShade="80"/>
          </w:tcPr>
          <w:p w:rsidR="00CF6EC5" w:rsidRPr="00EB5AE0" w:rsidRDefault="00CF6EC5" w:rsidP="00CF6EC5">
            <w:pPr>
              <w:rPr>
                <w:b/>
                <w:sz w:val="18"/>
                <w:szCs w:val="18"/>
              </w:rPr>
            </w:pPr>
            <w:r>
              <w:rPr>
                <w:b/>
                <w:sz w:val="18"/>
                <w:szCs w:val="18"/>
              </w:rPr>
              <w:t>Malaysia</w:t>
            </w:r>
          </w:p>
        </w:tc>
        <w:tc>
          <w:tcPr>
            <w:tcW w:w="1276" w:type="dxa"/>
            <w:shd w:val="clear" w:color="auto" w:fill="632423" w:themeFill="accent2" w:themeFillShade="80"/>
          </w:tcPr>
          <w:p w:rsidR="00CF6EC5" w:rsidRPr="00EB5AE0" w:rsidRDefault="00CF6EC5" w:rsidP="00CF6EC5">
            <w:pPr>
              <w:rPr>
                <w:b/>
                <w:sz w:val="18"/>
                <w:szCs w:val="18"/>
              </w:rPr>
            </w:pPr>
            <w:r>
              <w:rPr>
                <w:b/>
                <w:sz w:val="18"/>
                <w:szCs w:val="18"/>
              </w:rPr>
              <w:t>Thailand</w:t>
            </w:r>
          </w:p>
        </w:tc>
        <w:tc>
          <w:tcPr>
            <w:tcW w:w="1282" w:type="dxa"/>
            <w:gridSpan w:val="2"/>
            <w:shd w:val="clear" w:color="auto" w:fill="632423" w:themeFill="accent2" w:themeFillShade="80"/>
          </w:tcPr>
          <w:p w:rsidR="00CF6EC5" w:rsidRPr="00EB5AE0" w:rsidRDefault="00CF6EC5" w:rsidP="00CF6EC5">
            <w:pPr>
              <w:rPr>
                <w:b/>
                <w:sz w:val="18"/>
                <w:szCs w:val="18"/>
              </w:rPr>
            </w:pPr>
            <w:r>
              <w:rPr>
                <w:b/>
                <w:sz w:val="18"/>
                <w:szCs w:val="18"/>
              </w:rPr>
              <w:t>Philippines</w:t>
            </w:r>
          </w:p>
        </w:tc>
        <w:tc>
          <w:tcPr>
            <w:tcW w:w="1276" w:type="dxa"/>
            <w:shd w:val="clear" w:color="auto" w:fill="632423" w:themeFill="accent2" w:themeFillShade="80"/>
          </w:tcPr>
          <w:p w:rsidR="00CF6EC5" w:rsidRPr="00EB5AE0" w:rsidRDefault="00CF6EC5" w:rsidP="00CF6EC5">
            <w:pPr>
              <w:rPr>
                <w:b/>
                <w:sz w:val="18"/>
                <w:szCs w:val="18"/>
              </w:rPr>
            </w:pPr>
            <w:r>
              <w:rPr>
                <w:b/>
                <w:sz w:val="18"/>
                <w:szCs w:val="18"/>
              </w:rPr>
              <w:t>Mongolia</w:t>
            </w:r>
          </w:p>
        </w:tc>
        <w:tc>
          <w:tcPr>
            <w:tcW w:w="1276" w:type="dxa"/>
            <w:shd w:val="clear" w:color="auto" w:fill="632423" w:themeFill="accent2" w:themeFillShade="80"/>
          </w:tcPr>
          <w:p w:rsidR="00CF6EC5" w:rsidRPr="00EB5AE0" w:rsidRDefault="00CF6EC5" w:rsidP="00CF6EC5">
            <w:pPr>
              <w:rPr>
                <w:b/>
                <w:sz w:val="18"/>
                <w:szCs w:val="18"/>
              </w:rPr>
            </w:pPr>
            <w:r>
              <w:rPr>
                <w:b/>
                <w:sz w:val="18"/>
                <w:szCs w:val="18"/>
              </w:rPr>
              <w:t>Vietnam</w:t>
            </w:r>
          </w:p>
        </w:tc>
        <w:tc>
          <w:tcPr>
            <w:tcW w:w="1276" w:type="dxa"/>
            <w:shd w:val="clear" w:color="auto" w:fill="632423" w:themeFill="accent2" w:themeFillShade="80"/>
          </w:tcPr>
          <w:p w:rsidR="00CF6EC5" w:rsidRPr="00EB5AE0" w:rsidRDefault="00CF6EC5" w:rsidP="00CF6EC5">
            <w:pPr>
              <w:rPr>
                <w:b/>
                <w:sz w:val="18"/>
                <w:szCs w:val="18"/>
              </w:rPr>
            </w:pPr>
            <w:r>
              <w:rPr>
                <w:b/>
                <w:sz w:val="18"/>
                <w:szCs w:val="18"/>
              </w:rPr>
              <w:t>HONG KONG</w:t>
            </w:r>
          </w:p>
        </w:tc>
      </w:tr>
      <w:tr w:rsidR="00CF6EC5" w:rsidTr="003837C6">
        <w:tc>
          <w:tcPr>
            <w:tcW w:w="3363" w:type="dxa"/>
            <w:gridSpan w:val="2"/>
            <w:shd w:val="clear" w:color="auto" w:fill="95B3D7" w:themeFill="accent1" w:themeFillTint="99"/>
          </w:tcPr>
          <w:p w:rsidR="00CF6EC5" w:rsidRPr="00B9051A" w:rsidRDefault="00CF6EC5" w:rsidP="00CF6EC5">
            <w:pPr>
              <w:pStyle w:val="ListParagraph"/>
              <w:numPr>
                <w:ilvl w:val="0"/>
                <w:numId w:val="7"/>
              </w:numPr>
              <w:rPr>
                <w:b/>
                <w:sz w:val="16"/>
                <w:szCs w:val="16"/>
              </w:rPr>
            </w:pPr>
            <w:r w:rsidRPr="00B9051A">
              <w:rPr>
                <w:b/>
                <w:sz w:val="16"/>
                <w:szCs w:val="16"/>
              </w:rPr>
              <w:t>Demography and Socio-Economic parameters</w:t>
            </w:r>
          </w:p>
        </w:tc>
        <w:tc>
          <w:tcPr>
            <w:tcW w:w="1275" w:type="dxa"/>
            <w:shd w:val="clear" w:color="auto" w:fill="95B3D7" w:themeFill="accent1" w:themeFillTint="99"/>
          </w:tcPr>
          <w:p w:rsidR="00CF6EC5" w:rsidRPr="009B00C9" w:rsidRDefault="00CF6EC5" w:rsidP="00CF6EC5">
            <w:pPr>
              <w:rPr>
                <w:b/>
                <w:sz w:val="16"/>
                <w:szCs w:val="16"/>
              </w:rPr>
            </w:pPr>
          </w:p>
        </w:tc>
        <w:tc>
          <w:tcPr>
            <w:tcW w:w="1276" w:type="dxa"/>
            <w:shd w:val="clear" w:color="auto" w:fill="95B3D7" w:themeFill="accent1" w:themeFillTint="99"/>
          </w:tcPr>
          <w:p w:rsidR="00CF6EC5" w:rsidRPr="009B00C9" w:rsidRDefault="00CF6EC5" w:rsidP="00CF6EC5">
            <w:pPr>
              <w:rPr>
                <w:b/>
                <w:sz w:val="16"/>
                <w:szCs w:val="16"/>
              </w:rPr>
            </w:pPr>
          </w:p>
        </w:tc>
        <w:tc>
          <w:tcPr>
            <w:tcW w:w="1282" w:type="dxa"/>
            <w:gridSpan w:val="2"/>
            <w:shd w:val="clear" w:color="auto" w:fill="95B3D7" w:themeFill="accent1" w:themeFillTint="99"/>
          </w:tcPr>
          <w:p w:rsidR="00CF6EC5" w:rsidRPr="009B00C9" w:rsidRDefault="00CF6EC5" w:rsidP="00CF6EC5">
            <w:pPr>
              <w:rPr>
                <w:b/>
                <w:sz w:val="16"/>
                <w:szCs w:val="16"/>
              </w:rPr>
            </w:pPr>
          </w:p>
        </w:tc>
        <w:tc>
          <w:tcPr>
            <w:tcW w:w="1276" w:type="dxa"/>
            <w:shd w:val="clear" w:color="auto" w:fill="95B3D7" w:themeFill="accent1" w:themeFillTint="99"/>
          </w:tcPr>
          <w:p w:rsidR="00CF6EC5" w:rsidRPr="009B00C9" w:rsidRDefault="00CF6EC5" w:rsidP="00CF6EC5">
            <w:pPr>
              <w:rPr>
                <w:b/>
                <w:sz w:val="16"/>
                <w:szCs w:val="16"/>
              </w:rPr>
            </w:pPr>
          </w:p>
        </w:tc>
        <w:tc>
          <w:tcPr>
            <w:tcW w:w="1276" w:type="dxa"/>
            <w:shd w:val="clear" w:color="auto" w:fill="95B3D7" w:themeFill="accent1" w:themeFillTint="99"/>
          </w:tcPr>
          <w:p w:rsidR="00CF6EC5" w:rsidRPr="009B00C9" w:rsidRDefault="00CF6EC5" w:rsidP="00CF6EC5">
            <w:pPr>
              <w:rPr>
                <w:b/>
                <w:sz w:val="16"/>
                <w:szCs w:val="16"/>
              </w:rPr>
            </w:pPr>
          </w:p>
        </w:tc>
        <w:tc>
          <w:tcPr>
            <w:tcW w:w="1276" w:type="dxa"/>
            <w:shd w:val="clear" w:color="auto" w:fill="95B3D7" w:themeFill="accent1" w:themeFillTint="99"/>
          </w:tcPr>
          <w:p w:rsidR="00CF6EC5" w:rsidRPr="009B00C9" w:rsidRDefault="00CF6EC5" w:rsidP="00CF6EC5">
            <w:pPr>
              <w:rPr>
                <w:b/>
                <w:sz w:val="16"/>
                <w:szCs w:val="16"/>
              </w:rPr>
            </w:pPr>
          </w:p>
        </w:tc>
      </w:tr>
      <w:tr w:rsidR="00CF6EC5" w:rsidTr="003837C6">
        <w:tc>
          <w:tcPr>
            <w:tcW w:w="2129" w:type="dxa"/>
          </w:tcPr>
          <w:p w:rsidR="00CF6EC5" w:rsidRPr="007701DE" w:rsidRDefault="00CF6EC5" w:rsidP="00CF6EC5">
            <w:pPr>
              <w:rPr>
                <w:sz w:val="16"/>
                <w:szCs w:val="16"/>
              </w:rPr>
            </w:pPr>
            <w:r w:rsidRPr="007701DE">
              <w:rPr>
                <w:sz w:val="16"/>
                <w:szCs w:val="16"/>
              </w:rPr>
              <w:t>Population</w:t>
            </w:r>
            <w:r>
              <w:rPr>
                <w:rStyle w:val="FootnoteReference"/>
                <w:sz w:val="16"/>
                <w:szCs w:val="16"/>
              </w:rPr>
              <w:footnoteReference w:id="1"/>
            </w:r>
          </w:p>
        </w:tc>
        <w:tc>
          <w:tcPr>
            <w:tcW w:w="1234" w:type="dxa"/>
          </w:tcPr>
          <w:p w:rsidR="00CF6EC5" w:rsidRPr="00EB5AE0" w:rsidRDefault="00CF6EC5" w:rsidP="00CF6EC5">
            <w:pPr>
              <w:rPr>
                <w:sz w:val="16"/>
                <w:szCs w:val="16"/>
              </w:rPr>
            </w:pPr>
            <w:r>
              <w:rPr>
                <w:sz w:val="16"/>
                <w:szCs w:val="16"/>
              </w:rPr>
              <w:t>248,216,193</w:t>
            </w:r>
          </w:p>
        </w:tc>
        <w:tc>
          <w:tcPr>
            <w:tcW w:w="1275" w:type="dxa"/>
          </w:tcPr>
          <w:p w:rsidR="00CF6EC5" w:rsidRPr="000C107D" w:rsidRDefault="00CF6EC5" w:rsidP="00CF6EC5">
            <w:pPr>
              <w:rPr>
                <w:sz w:val="16"/>
                <w:szCs w:val="16"/>
              </w:rPr>
            </w:pPr>
            <w:r w:rsidRPr="000C107D">
              <w:rPr>
                <w:sz w:val="16"/>
                <w:szCs w:val="16"/>
              </w:rPr>
              <w:t>29,179,952</w:t>
            </w:r>
          </w:p>
        </w:tc>
        <w:tc>
          <w:tcPr>
            <w:tcW w:w="1276" w:type="dxa"/>
          </w:tcPr>
          <w:p w:rsidR="00CF6EC5" w:rsidRPr="008B415F" w:rsidRDefault="00CF6EC5" w:rsidP="00CF6EC5">
            <w:pPr>
              <w:rPr>
                <w:sz w:val="16"/>
                <w:szCs w:val="16"/>
              </w:rPr>
            </w:pPr>
            <w:r>
              <w:rPr>
                <w:sz w:val="16"/>
                <w:szCs w:val="16"/>
              </w:rPr>
              <w:t>67,091,089</w:t>
            </w:r>
          </w:p>
        </w:tc>
        <w:tc>
          <w:tcPr>
            <w:tcW w:w="1282" w:type="dxa"/>
            <w:gridSpan w:val="2"/>
          </w:tcPr>
          <w:p w:rsidR="00CF6EC5" w:rsidRPr="005117C0" w:rsidRDefault="00CF6EC5" w:rsidP="00CF6EC5">
            <w:pPr>
              <w:rPr>
                <w:sz w:val="16"/>
                <w:szCs w:val="16"/>
              </w:rPr>
            </w:pPr>
            <w:r w:rsidRPr="005117C0">
              <w:rPr>
                <w:sz w:val="16"/>
                <w:szCs w:val="16"/>
              </w:rPr>
              <w:t>103,775,002</w:t>
            </w:r>
          </w:p>
        </w:tc>
        <w:tc>
          <w:tcPr>
            <w:tcW w:w="1276" w:type="dxa"/>
          </w:tcPr>
          <w:p w:rsidR="00CF6EC5" w:rsidRPr="00EB5AE0" w:rsidRDefault="00CF6EC5" w:rsidP="00CF6EC5">
            <w:pPr>
              <w:rPr>
                <w:sz w:val="16"/>
                <w:szCs w:val="16"/>
              </w:rPr>
            </w:pPr>
            <w:r>
              <w:rPr>
                <w:sz w:val="16"/>
                <w:szCs w:val="16"/>
              </w:rPr>
              <w:t>3,179,997</w:t>
            </w:r>
          </w:p>
        </w:tc>
        <w:tc>
          <w:tcPr>
            <w:tcW w:w="1276" w:type="dxa"/>
          </w:tcPr>
          <w:p w:rsidR="00CF6EC5" w:rsidRPr="00EB5AE0" w:rsidRDefault="00CF6EC5" w:rsidP="00CF6EC5">
            <w:pPr>
              <w:rPr>
                <w:sz w:val="16"/>
                <w:szCs w:val="16"/>
              </w:rPr>
            </w:pPr>
            <w:r w:rsidRPr="00DA4DE1">
              <w:rPr>
                <w:sz w:val="16"/>
                <w:szCs w:val="16"/>
              </w:rPr>
              <w:t>91,519,289</w:t>
            </w:r>
            <w:r>
              <w:t xml:space="preserve"> </w:t>
            </w:r>
          </w:p>
        </w:tc>
        <w:tc>
          <w:tcPr>
            <w:tcW w:w="1276" w:type="dxa"/>
          </w:tcPr>
          <w:p w:rsidR="00CF6EC5" w:rsidRPr="00EB5AE0" w:rsidRDefault="00CF6EC5" w:rsidP="00CF6EC5">
            <w:pPr>
              <w:rPr>
                <w:sz w:val="16"/>
                <w:szCs w:val="16"/>
              </w:rPr>
            </w:pPr>
          </w:p>
        </w:tc>
      </w:tr>
      <w:tr w:rsidR="00CF6EC5" w:rsidTr="003837C6">
        <w:tc>
          <w:tcPr>
            <w:tcW w:w="2129" w:type="dxa"/>
          </w:tcPr>
          <w:p w:rsidR="00CF6EC5" w:rsidRPr="007701DE" w:rsidRDefault="00CF6EC5" w:rsidP="00CF6EC5">
            <w:pPr>
              <w:rPr>
                <w:sz w:val="16"/>
                <w:szCs w:val="16"/>
              </w:rPr>
            </w:pPr>
            <w:r w:rsidRPr="005124B5">
              <w:rPr>
                <w:sz w:val="16"/>
                <w:szCs w:val="16"/>
              </w:rPr>
              <w:t>Population Density</w:t>
            </w:r>
          </w:p>
        </w:tc>
        <w:tc>
          <w:tcPr>
            <w:tcW w:w="1234" w:type="dxa"/>
          </w:tcPr>
          <w:p w:rsidR="00CF6EC5" w:rsidRPr="00EB5AE0" w:rsidRDefault="00CF6EC5" w:rsidP="00CF6EC5">
            <w:pPr>
              <w:rPr>
                <w:sz w:val="16"/>
                <w:szCs w:val="16"/>
              </w:rPr>
            </w:pPr>
            <w:r>
              <w:rPr>
                <w:sz w:val="16"/>
                <w:szCs w:val="16"/>
              </w:rPr>
              <w:t>132.41 persons per sq.km</w:t>
            </w:r>
          </w:p>
        </w:tc>
        <w:tc>
          <w:tcPr>
            <w:tcW w:w="1275" w:type="dxa"/>
          </w:tcPr>
          <w:p w:rsidR="00CF6EC5" w:rsidRPr="00EB5AE0" w:rsidRDefault="00CF6EC5" w:rsidP="00CF6EC5">
            <w:pPr>
              <w:rPr>
                <w:sz w:val="16"/>
                <w:szCs w:val="16"/>
              </w:rPr>
            </w:pPr>
            <w:r>
              <w:rPr>
                <w:sz w:val="16"/>
                <w:szCs w:val="16"/>
              </w:rPr>
              <w:t>86.44 persons per sq. km</w:t>
            </w:r>
            <w:r>
              <w:rPr>
                <w:rStyle w:val="FootnoteReference"/>
                <w:sz w:val="16"/>
                <w:szCs w:val="16"/>
              </w:rPr>
              <w:footnoteReference w:id="2"/>
            </w:r>
          </w:p>
        </w:tc>
        <w:tc>
          <w:tcPr>
            <w:tcW w:w="1276" w:type="dxa"/>
          </w:tcPr>
          <w:p w:rsidR="00CF6EC5" w:rsidRPr="00EB5AE0" w:rsidRDefault="00CF6EC5" w:rsidP="00CF6EC5">
            <w:pPr>
              <w:rPr>
                <w:sz w:val="16"/>
                <w:szCs w:val="16"/>
              </w:rPr>
            </w:pPr>
            <w:r>
              <w:rPr>
                <w:sz w:val="16"/>
                <w:szCs w:val="16"/>
              </w:rPr>
              <w:t>132.7 people per sq.km</w:t>
            </w:r>
          </w:p>
        </w:tc>
        <w:tc>
          <w:tcPr>
            <w:tcW w:w="1282" w:type="dxa"/>
            <w:gridSpan w:val="2"/>
          </w:tcPr>
          <w:p w:rsidR="00CF6EC5" w:rsidRPr="00EB5AE0" w:rsidRDefault="00CF6EC5" w:rsidP="00CF6EC5">
            <w:pPr>
              <w:rPr>
                <w:sz w:val="16"/>
                <w:szCs w:val="16"/>
              </w:rPr>
            </w:pPr>
            <w:r>
              <w:rPr>
                <w:sz w:val="16"/>
                <w:szCs w:val="16"/>
              </w:rPr>
              <w:t>312.78 persons per sq. km</w:t>
            </w:r>
          </w:p>
        </w:tc>
        <w:tc>
          <w:tcPr>
            <w:tcW w:w="1276" w:type="dxa"/>
          </w:tcPr>
          <w:p w:rsidR="00CF6EC5" w:rsidRPr="00EB5AE0" w:rsidRDefault="00CF6EC5" w:rsidP="00CF6EC5">
            <w:pPr>
              <w:rPr>
                <w:sz w:val="16"/>
                <w:szCs w:val="16"/>
              </w:rPr>
            </w:pPr>
            <w:r>
              <w:rPr>
                <w:sz w:val="16"/>
                <w:szCs w:val="16"/>
              </w:rPr>
              <w:t>1.76 persons per km.</w:t>
            </w:r>
            <w:r>
              <w:rPr>
                <w:rStyle w:val="FootnoteReference"/>
                <w:sz w:val="16"/>
                <w:szCs w:val="16"/>
              </w:rPr>
              <w:footnoteReference w:id="3"/>
            </w:r>
          </w:p>
        </w:tc>
        <w:tc>
          <w:tcPr>
            <w:tcW w:w="1276" w:type="dxa"/>
          </w:tcPr>
          <w:p w:rsidR="00CF6EC5" w:rsidRPr="00EB5AE0" w:rsidRDefault="00CF6EC5" w:rsidP="00CF6EC5">
            <w:pPr>
              <w:rPr>
                <w:sz w:val="16"/>
                <w:szCs w:val="16"/>
              </w:rPr>
            </w:pPr>
            <w:r>
              <w:rPr>
                <w:sz w:val="16"/>
                <w:szCs w:val="16"/>
              </w:rPr>
              <w:t>263 person per sq. km.</w:t>
            </w:r>
          </w:p>
        </w:tc>
        <w:tc>
          <w:tcPr>
            <w:tcW w:w="1276" w:type="dxa"/>
          </w:tcPr>
          <w:p w:rsidR="00CF6EC5" w:rsidRPr="00EB5AE0" w:rsidRDefault="00CF6EC5" w:rsidP="00CF6EC5">
            <w:pPr>
              <w:rPr>
                <w:sz w:val="16"/>
                <w:szCs w:val="16"/>
              </w:rPr>
            </w:pPr>
          </w:p>
        </w:tc>
      </w:tr>
      <w:tr w:rsidR="00CF6EC5" w:rsidTr="003837C6">
        <w:trPr>
          <w:trHeight w:val="286"/>
        </w:trPr>
        <w:tc>
          <w:tcPr>
            <w:tcW w:w="2129" w:type="dxa"/>
          </w:tcPr>
          <w:p w:rsidR="00CF6EC5" w:rsidRPr="007701DE" w:rsidRDefault="00CF6EC5" w:rsidP="00CF6EC5">
            <w:pPr>
              <w:rPr>
                <w:sz w:val="16"/>
                <w:szCs w:val="16"/>
              </w:rPr>
            </w:pPr>
            <w:r w:rsidRPr="005124B5">
              <w:rPr>
                <w:sz w:val="16"/>
                <w:szCs w:val="16"/>
              </w:rPr>
              <w:t>Per Capita Income</w:t>
            </w:r>
            <w:r>
              <w:rPr>
                <w:rStyle w:val="FootnoteReference"/>
                <w:sz w:val="16"/>
                <w:szCs w:val="16"/>
              </w:rPr>
              <w:footnoteReference w:id="4"/>
            </w:r>
          </w:p>
        </w:tc>
        <w:tc>
          <w:tcPr>
            <w:tcW w:w="1234" w:type="dxa"/>
          </w:tcPr>
          <w:p w:rsidR="00CF6EC5" w:rsidRPr="00EB5AE0" w:rsidRDefault="00CF6EC5" w:rsidP="00CF6EC5">
            <w:pPr>
              <w:rPr>
                <w:sz w:val="16"/>
                <w:szCs w:val="16"/>
              </w:rPr>
            </w:pPr>
            <w:r>
              <w:rPr>
                <w:sz w:val="16"/>
                <w:szCs w:val="16"/>
              </w:rPr>
              <w:t>US $3,509</w:t>
            </w:r>
          </w:p>
        </w:tc>
        <w:tc>
          <w:tcPr>
            <w:tcW w:w="1275" w:type="dxa"/>
          </w:tcPr>
          <w:p w:rsidR="00CF6EC5" w:rsidRPr="00EB5AE0" w:rsidRDefault="00CF6EC5" w:rsidP="00CF6EC5">
            <w:pPr>
              <w:rPr>
                <w:sz w:val="16"/>
                <w:szCs w:val="16"/>
              </w:rPr>
            </w:pPr>
            <w:r>
              <w:rPr>
                <w:sz w:val="16"/>
                <w:szCs w:val="16"/>
              </w:rPr>
              <w:t>US $ 9,700</w:t>
            </w:r>
          </w:p>
        </w:tc>
        <w:tc>
          <w:tcPr>
            <w:tcW w:w="1276" w:type="dxa"/>
          </w:tcPr>
          <w:p w:rsidR="00CF6EC5" w:rsidRPr="00F6369A" w:rsidRDefault="00CF6EC5" w:rsidP="00CF6EC5">
            <w:pPr>
              <w:rPr>
                <w:sz w:val="16"/>
                <w:szCs w:val="16"/>
              </w:rPr>
            </w:pPr>
            <w:r>
              <w:rPr>
                <w:sz w:val="16"/>
                <w:szCs w:val="16"/>
              </w:rPr>
              <w:t>US $5394</w:t>
            </w:r>
          </w:p>
        </w:tc>
        <w:tc>
          <w:tcPr>
            <w:tcW w:w="1282" w:type="dxa"/>
            <w:gridSpan w:val="2"/>
          </w:tcPr>
          <w:p w:rsidR="00CF6EC5" w:rsidRPr="00EB5AE0" w:rsidRDefault="00CF6EC5" w:rsidP="00CF6EC5">
            <w:pPr>
              <w:rPr>
                <w:sz w:val="16"/>
                <w:szCs w:val="16"/>
              </w:rPr>
            </w:pPr>
            <w:r>
              <w:rPr>
                <w:sz w:val="16"/>
                <w:szCs w:val="16"/>
              </w:rPr>
              <w:t>US $2,223</w:t>
            </w:r>
          </w:p>
        </w:tc>
        <w:tc>
          <w:tcPr>
            <w:tcW w:w="1276" w:type="dxa"/>
          </w:tcPr>
          <w:p w:rsidR="00CF6EC5" w:rsidRPr="00EB5AE0" w:rsidRDefault="00CF6EC5" w:rsidP="00CF6EC5">
            <w:pPr>
              <w:rPr>
                <w:sz w:val="16"/>
                <w:szCs w:val="16"/>
              </w:rPr>
            </w:pPr>
            <w:r>
              <w:rPr>
                <w:sz w:val="16"/>
                <w:szCs w:val="16"/>
              </w:rPr>
              <w:t>US $3,042</w:t>
            </w:r>
            <w:r>
              <w:rPr>
                <w:rStyle w:val="FootnoteReference"/>
                <w:sz w:val="16"/>
                <w:szCs w:val="16"/>
              </w:rPr>
              <w:footnoteReference w:id="5"/>
            </w:r>
          </w:p>
        </w:tc>
        <w:tc>
          <w:tcPr>
            <w:tcW w:w="1276" w:type="dxa"/>
          </w:tcPr>
          <w:p w:rsidR="00CF6EC5" w:rsidRPr="00EB5AE0" w:rsidRDefault="00CF6EC5" w:rsidP="00CF6EC5">
            <w:pPr>
              <w:rPr>
                <w:sz w:val="16"/>
                <w:szCs w:val="16"/>
              </w:rPr>
            </w:pPr>
            <w:r>
              <w:rPr>
                <w:sz w:val="16"/>
                <w:szCs w:val="16"/>
              </w:rPr>
              <w:t>US $ 1,374</w:t>
            </w:r>
          </w:p>
        </w:tc>
        <w:tc>
          <w:tcPr>
            <w:tcW w:w="1276" w:type="dxa"/>
          </w:tcPr>
          <w:p w:rsidR="00CF6EC5" w:rsidRPr="00EB5AE0" w:rsidRDefault="00CF6EC5" w:rsidP="00CF6EC5">
            <w:pPr>
              <w:rPr>
                <w:sz w:val="16"/>
                <w:szCs w:val="16"/>
              </w:rPr>
            </w:pPr>
          </w:p>
        </w:tc>
      </w:tr>
      <w:tr w:rsidR="00CF6EC5" w:rsidTr="003837C6">
        <w:tc>
          <w:tcPr>
            <w:tcW w:w="2129" w:type="dxa"/>
          </w:tcPr>
          <w:p w:rsidR="00CF6EC5" w:rsidRPr="007701DE" w:rsidRDefault="00CF6EC5" w:rsidP="00CF6EC5">
            <w:pPr>
              <w:rPr>
                <w:sz w:val="16"/>
                <w:szCs w:val="16"/>
              </w:rPr>
            </w:pPr>
            <w:r w:rsidRPr="007701DE">
              <w:rPr>
                <w:sz w:val="16"/>
                <w:szCs w:val="16"/>
              </w:rPr>
              <w:t>Any definition of affordability</w:t>
            </w:r>
          </w:p>
        </w:tc>
        <w:tc>
          <w:tcPr>
            <w:tcW w:w="1234" w:type="dxa"/>
          </w:tcPr>
          <w:p w:rsidR="00CF6EC5" w:rsidRPr="00EB5AE0" w:rsidRDefault="00CF6EC5" w:rsidP="00CF6EC5">
            <w:pPr>
              <w:rPr>
                <w:sz w:val="16"/>
                <w:szCs w:val="16"/>
              </w:rPr>
            </w:pPr>
            <w:r w:rsidRPr="00EB5AE0">
              <w:rPr>
                <w:sz w:val="16"/>
                <w:szCs w:val="16"/>
              </w:rPr>
              <w:t>Household income, rather than individual wages or per capita income, is the relevant base for the calculation of housing afford-ability.</w:t>
            </w:r>
            <w:r>
              <w:rPr>
                <w:rStyle w:val="FootnoteReference"/>
                <w:sz w:val="16"/>
                <w:szCs w:val="16"/>
              </w:rPr>
              <w:footnoteReference w:id="6"/>
            </w:r>
          </w:p>
        </w:tc>
        <w:tc>
          <w:tcPr>
            <w:tcW w:w="1275" w:type="dxa"/>
          </w:tcPr>
          <w:p w:rsidR="00CF6EC5" w:rsidRDefault="00CF6EC5" w:rsidP="00CF6EC5">
            <w:pPr>
              <w:rPr>
                <w:sz w:val="16"/>
                <w:szCs w:val="16"/>
              </w:rPr>
            </w:pPr>
            <w:r w:rsidRPr="00861BA5">
              <w:rPr>
                <w:sz w:val="16"/>
                <w:szCs w:val="16"/>
              </w:rPr>
              <w:t>Affordable housing level is the ratio of the monthly loan payment on the income, in which is at the rate of 30 percent from the household monthly income. Thus, the definition and concept of the affordable housing is measured by the income and expenditures of a household to pay for the price or rental of a house. The expenses allocated for buying a house is 30 percent of the</w:t>
            </w:r>
            <w:r>
              <w:rPr>
                <w:sz w:val="16"/>
                <w:szCs w:val="16"/>
              </w:rPr>
              <w:t xml:space="preserve"> </w:t>
            </w:r>
            <w:r w:rsidRPr="00861BA5">
              <w:rPr>
                <w:sz w:val="16"/>
                <w:szCs w:val="16"/>
              </w:rPr>
              <w:t xml:space="preserve">household monthly income. (Ahmad </w:t>
            </w:r>
            <w:proofErr w:type="spellStart"/>
            <w:r w:rsidRPr="00861BA5">
              <w:rPr>
                <w:sz w:val="16"/>
                <w:szCs w:val="16"/>
              </w:rPr>
              <w:t>Ariffian</w:t>
            </w:r>
            <w:proofErr w:type="spellEnd"/>
            <w:r w:rsidRPr="00861BA5">
              <w:rPr>
                <w:sz w:val="16"/>
                <w:szCs w:val="16"/>
              </w:rPr>
              <w:t xml:space="preserve"> </w:t>
            </w:r>
            <w:proofErr w:type="spellStart"/>
            <w:r w:rsidRPr="00861BA5">
              <w:rPr>
                <w:sz w:val="16"/>
                <w:szCs w:val="16"/>
              </w:rPr>
              <w:t>Bujang</w:t>
            </w:r>
            <w:proofErr w:type="spellEnd"/>
            <w:r w:rsidRPr="00861BA5">
              <w:rPr>
                <w:sz w:val="16"/>
                <w:szCs w:val="16"/>
              </w:rPr>
              <w:t>, 2006)</w:t>
            </w:r>
            <w:r>
              <w:rPr>
                <w:sz w:val="16"/>
                <w:szCs w:val="16"/>
              </w:rPr>
              <w:t>.</w:t>
            </w:r>
          </w:p>
          <w:p w:rsidR="00CF6EC5" w:rsidRPr="00861BA5" w:rsidRDefault="00CF6EC5" w:rsidP="00CF6EC5">
            <w:pPr>
              <w:rPr>
                <w:sz w:val="16"/>
                <w:szCs w:val="16"/>
              </w:rPr>
            </w:pPr>
            <w:r w:rsidRPr="00861BA5">
              <w:rPr>
                <w:sz w:val="16"/>
                <w:szCs w:val="16"/>
              </w:rPr>
              <w:t xml:space="preserve">It is also defined as a house that can be obtained without serious </w:t>
            </w:r>
          </w:p>
          <w:p w:rsidR="00CF6EC5" w:rsidRPr="00861BA5" w:rsidRDefault="00CF6EC5" w:rsidP="00CF6EC5">
            <w:pPr>
              <w:rPr>
                <w:sz w:val="16"/>
                <w:szCs w:val="16"/>
              </w:rPr>
            </w:pPr>
            <w:r w:rsidRPr="00861BA5">
              <w:rPr>
                <w:sz w:val="16"/>
                <w:szCs w:val="16"/>
              </w:rPr>
              <w:t xml:space="preserve">financing risks which has been set by most countries worldwide as </w:t>
            </w:r>
          </w:p>
          <w:p w:rsidR="00CF6EC5" w:rsidRPr="00EB5AE0" w:rsidRDefault="00CF6EC5" w:rsidP="00CF6EC5">
            <w:pPr>
              <w:rPr>
                <w:sz w:val="16"/>
                <w:szCs w:val="16"/>
              </w:rPr>
            </w:pPr>
            <w:r w:rsidRPr="00861BA5">
              <w:rPr>
                <w:sz w:val="16"/>
                <w:szCs w:val="16"/>
              </w:rPr>
              <w:t xml:space="preserve">30 percent income limit. The 30 percent limit is the basis </w:t>
            </w:r>
            <w:r w:rsidRPr="00861BA5">
              <w:rPr>
                <w:sz w:val="16"/>
                <w:szCs w:val="16"/>
              </w:rPr>
              <w:lastRenderedPageBreak/>
              <w:t>to access the financing for the affordable housing and thus becomes the reference for serious financing risk (Jose, 2002).</w:t>
            </w:r>
            <w:r>
              <w:rPr>
                <w:rStyle w:val="FootnoteReference"/>
                <w:sz w:val="16"/>
                <w:szCs w:val="16"/>
              </w:rPr>
              <w:footnoteReference w:id="7"/>
            </w:r>
          </w:p>
        </w:tc>
        <w:tc>
          <w:tcPr>
            <w:tcW w:w="1276" w:type="dxa"/>
          </w:tcPr>
          <w:p w:rsidR="00CF6EC5" w:rsidRPr="00EB5AE0" w:rsidRDefault="00CF6EC5" w:rsidP="00CF6EC5">
            <w:pPr>
              <w:rPr>
                <w:sz w:val="16"/>
                <w:szCs w:val="16"/>
              </w:rPr>
            </w:pPr>
            <w:r>
              <w:rPr>
                <w:sz w:val="16"/>
                <w:szCs w:val="16"/>
              </w:rPr>
              <w:lastRenderedPageBreak/>
              <w:t>If a household earn the amount 25% of which can be paid off for housing, then the housing is said to be affordable for that household.</w:t>
            </w:r>
            <w:r>
              <w:rPr>
                <w:rStyle w:val="FootnoteReference"/>
                <w:sz w:val="16"/>
                <w:szCs w:val="16"/>
              </w:rPr>
              <w:footnoteReference w:id="8"/>
            </w:r>
            <w:r>
              <w:rPr>
                <w:sz w:val="16"/>
                <w:szCs w:val="16"/>
              </w:rPr>
              <w:t xml:space="preserve"> </w:t>
            </w:r>
          </w:p>
        </w:tc>
        <w:tc>
          <w:tcPr>
            <w:tcW w:w="1282" w:type="dxa"/>
            <w:gridSpan w:val="2"/>
          </w:tcPr>
          <w:p w:rsidR="00CF6EC5" w:rsidRPr="00EB5AE0" w:rsidRDefault="00CF6EC5" w:rsidP="00CF6EC5">
            <w:pPr>
              <w:rPr>
                <w:sz w:val="16"/>
                <w:szCs w:val="16"/>
              </w:rPr>
            </w:pPr>
            <w:r>
              <w:rPr>
                <w:sz w:val="16"/>
                <w:szCs w:val="16"/>
              </w:rPr>
              <w:t xml:space="preserve">Housing is considered to be affordable if monthly amortization/ rental is PHP 264.78 (US$ 6.38) in the first </w:t>
            </w:r>
            <w:proofErr w:type="spellStart"/>
            <w:r>
              <w:rPr>
                <w:sz w:val="16"/>
                <w:szCs w:val="16"/>
              </w:rPr>
              <w:t>decile</w:t>
            </w:r>
            <w:proofErr w:type="spellEnd"/>
            <w:r>
              <w:rPr>
                <w:sz w:val="16"/>
                <w:szCs w:val="16"/>
              </w:rPr>
              <w:t xml:space="preserve">, PHP 388.71 (US$ 9.36) in second </w:t>
            </w:r>
            <w:proofErr w:type="spellStart"/>
            <w:r>
              <w:rPr>
                <w:sz w:val="16"/>
                <w:szCs w:val="16"/>
              </w:rPr>
              <w:t>decile</w:t>
            </w:r>
            <w:proofErr w:type="spellEnd"/>
            <w:r>
              <w:rPr>
                <w:sz w:val="16"/>
                <w:szCs w:val="16"/>
              </w:rPr>
              <w:t xml:space="preserve"> and PHP 496.38 (US$ 11.96) in third </w:t>
            </w:r>
            <w:proofErr w:type="spellStart"/>
            <w:r>
              <w:rPr>
                <w:sz w:val="16"/>
                <w:szCs w:val="16"/>
              </w:rPr>
              <w:t>decile</w:t>
            </w:r>
            <w:proofErr w:type="spellEnd"/>
            <w:r>
              <w:rPr>
                <w:sz w:val="16"/>
                <w:szCs w:val="16"/>
              </w:rPr>
              <w:t>.</w:t>
            </w:r>
            <w:r>
              <w:rPr>
                <w:rStyle w:val="FootnoteReference"/>
                <w:sz w:val="16"/>
                <w:szCs w:val="16"/>
              </w:rPr>
              <w:footnoteReference w:id="9"/>
            </w: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p>
        </w:tc>
      </w:tr>
      <w:tr w:rsidR="00CF6EC5" w:rsidTr="003837C6">
        <w:tc>
          <w:tcPr>
            <w:tcW w:w="2129" w:type="dxa"/>
          </w:tcPr>
          <w:p w:rsidR="00CF6EC5" w:rsidRPr="007701DE" w:rsidRDefault="00CF6EC5" w:rsidP="00CF6EC5">
            <w:pPr>
              <w:rPr>
                <w:sz w:val="16"/>
                <w:szCs w:val="16"/>
              </w:rPr>
            </w:pPr>
            <w:r w:rsidRPr="00742DCD">
              <w:rPr>
                <w:sz w:val="16"/>
                <w:szCs w:val="16"/>
              </w:rPr>
              <w:lastRenderedPageBreak/>
              <w:t>Any Definition of Low-Income Housing</w:t>
            </w:r>
          </w:p>
        </w:tc>
        <w:tc>
          <w:tcPr>
            <w:tcW w:w="1234" w:type="dxa"/>
          </w:tcPr>
          <w:p w:rsidR="00CF6EC5" w:rsidRPr="00EB5AE0" w:rsidRDefault="00CF6EC5" w:rsidP="00CF6EC5">
            <w:pPr>
              <w:rPr>
                <w:sz w:val="16"/>
                <w:szCs w:val="16"/>
              </w:rPr>
            </w:pPr>
            <w:r w:rsidRPr="00EB5AE0">
              <w:rPr>
                <w:sz w:val="16"/>
                <w:szCs w:val="16"/>
              </w:rPr>
              <w:t>Household income, rather than individual wages or per capita income, is the relevant base for the calculation of housing afford-ability.</w:t>
            </w:r>
            <w:r>
              <w:rPr>
                <w:rStyle w:val="FootnoteReference"/>
                <w:sz w:val="16"/>
                <w:szCs w:val="16"/>
              </w:rPr>
              <w:footnoteReference w:id="10"/>
            </w:r>
          </w:p>
        </w:tc>
        <w:tc>
          <w:tcPr>
            <w:tcW w:w="1275" w:type="dxa"/>
          </w:tcPr>
          <w:p w:rsidR="00CF6EC5" w:rsidRPr="00EB5AE0" w:rsidRDefault="00CF6EC5" w:rsidP="00CF6EC5">
            <w:pPr>
              <w:rPr>
                <w:sz w:val="16"/>
                <w:szCs w:val="16"/>
              </w:rPr>
            </w:pPr>
            <w:r>
              <w:rPr>
                <w:sz w:val="16"/>
                <w:szCs w:val="16"/>
              </w:rPr>
              <w:t>Low income housing is considered to be a house with floor area of 60 sq. meters, incorporation three bedrooms as well as washing and drying areas especially in high-rise buildings.</w:t>
            </w:r>
            <w:r>
              <w:rPr>
                <w:rStyle w:val="FootnoteReference"/>
                <w:sz w:val="16"/>
                <w:szCs w:val="16"/>
              </w:rPr>
              <w:footnoteReference w:id="11"/>
            </w:r>
          </w:p>
        </w:tc>
        <w:tc>
          <w:tcPr>
            <w:tcW w:w="1276" w:type="dxa"/>
          </w:tcPr>
          <w:p w:rsidR="00CF6EC5" w:rsidRPr="00EB5AE0" w:rsidRDefault="00CF6EC5" w:rsidP="00CF6EC5">
            <w:pPr>
              <w:rPr>
                <w:sz w:val="16"/>
                <w:szCs w:val="16"/>
              </w:rPr>
            </w:pPr>
            <w:r>
              <w:rPr>
                <w:sz w:val="16"/>
                <w:szCs w:val="16"/>
              </w:rPr>
              <w:t>Low income housing is the house afforded by people with income of Thai Baht 7,000-8,000 (US $ 220-250) per month.</w:t>
            </w:r>
          </w:p>
        </w:tc>
        <w:tc>
          <w:tcPr>
            <w:tcW w:w="1282" w:type="dxa"/>
            <w:gridSpan w:val="2"/>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p>
        </w:tc>
      </w:tr>
      <w:tr w:rsidR="00CF6EC5" w:rsidTr="003837C6">
        <w:tc>
          <w:tcPr>
            <w:tcW w:w="2129" w:type="dxa"/>
          </w:tcPr>
          <w:p w:rsidR="00CF6EC5" w:rsidRPr="00742DCD" w:rsidRDefault="00CF6EC5" w:rsidP="00CF6EC5">
            <w:pPr>
              <w:rPr>
                <w:sz w:val="16"/>
                <w:szCs w:val="16"/>
              </w:rPr>
            </w:pPr>
          </w:p>
        </w:tc>
        <w:tc>
          <w:tcPr>
            <w:tcW w:w="1234" w:type="dxa"/>
          </w:tcPr>
          <w:p w:rsidR="00CF6EC5" w:rsidRPr="00EB5AE0" w:rsidRDefault="00CF6EC5" w:rsidP="00CF6EC5">
            <w:pPr>
              <w:rPr>
                <w:sz w:val="16"/>
                <w:szCs w:val="16"/>
              </w:rPr>
            </w:pPr>
          </w:p>
        </w:tc>
        <w:tc>
          <w:tcPr>
            <w:tcW w:w="1275"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r w:rsidR="00CF6EC5" w:rsidTr="003837C6">
        <w:tc>
          <w:tcPr>
            <w:tcW w:w="3363" w:type="dxa"/>
            <w:gridSpan w:val="2"/>
            <w:shd w:val="clear" w:color="auto" w:fill="95B3D7" w:themeFill="accent1" w:themeFillTint="99"/>
          </w:tcPr>
          <w:p w:rsidR="00CF6EC5" w:rsidRPr="00B9051A" w:rsidRDefault="00CF6EC5" w:rsidP="00CF6EC5">
            <w:pPr>
              <w:pStyle w:val="ListParagraph"/>
              <w:numPr>
                <w:ilvl w:val="0"/>
                <w:numId w:val="7"/>
              </w:numPr>
              <w:rPr>
                <w:b/>
                <w:sz w:val="16"/>
                <w:szCs w:val="16"/>
              </w:rPr>
            </w:pPr>
            <w:r w:rsidRPr="00B9051A">
              <w:rPr>
                <w:b/>
                <w:sz w:val="16"/>
                <w:szCs w:val="16"/>
              </w:rPr>
              <w:t>Available Housing Stock</w:t>
            </w:r>
          </w:p>
        </w:tc>
        <w:tc>
          <w:tcPr>
            <w:tcW w:w="1275" w:type="dxa"/>
            <w:shd w:val="clear" w:color="auto" w:fill="95B3D7" w:themeFill="accent1" w:themeFillTint="99"/>
          </w:tcPr>
          <w:p w:rsidR="00CF6EC5" w:rsidRPr="002B2122" w:rsidRDefault="00CF6EC5" w:rsidP="00CF6EC5">
            <w:pPr>
              <w:rPr>
                <w:b/>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82" w:type="dxa"/>
            <w:gridSpan w:val="2"/>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r>
      <w:tr w:rsidR="00CF6EC5" w:rsidTr="003837C6">
        <w:tc>
          <w:tcPr>
            <w:tcW w:w="2129" w:type="dxa"/>
          </w:tcPr>
          <w:p w:rsidR="00CF6EC5" w:rsidRPr="00242DB2" w:rsidRDefault="00CF6EC5" w:rsidP="00CF6EC5">
            <w:pPr>
              <w:rPr>
                <w:sz w:val="16"/>
                <w:szCs w:val="16"/>
              </w:rPr>
            </w:pPr>
            <w:r w:rsidRPr="00242DB2">
              <w:rPr>
                <w:sz w:val="16"/>
                <w:szCs w:val="16"/>
              </w:rPr>
              <w:t>Current total stock</w:t>
            </w:r>
          </w:p>
        </w:tc>
        <w:tc>
          <w:tcPr>
            <w:tcW w:w="1234" w:type="dxa"/>
          </w:tcPr>
          <w:p w:rsidR="00CF6EC5" w:rsidRPr="00EB5AE0" w:rsidRDefault="00CF6EC5" w:rsidP="00CF6EC5">
            <w:pPr>
              <w:rPr>
                <w:sz w:val="16"/>
                <w:szCs w:val="16"/>
              </w:rPr>
            </w:pPr>
            <w:r w:rsidRPr="00EB5AE0">
              <w:rPr>
                <w:sz w:val="16"/>
                <w:szCs w:val="16"/>
              </w:rPr>
              <w:t>54 million</w:t>
            </w:r>
            <w:r>
              <w:rPr>
                <w:rStyle w:val="FootnoteReference"/>
                <w:b/>
                <w:sz w:val="16"/>
                <w:szCs w:val="16"/>
              </w:rPr>
              <w:footnoteReference w:id="12"/>
            </w:r>
          </w:p>
        </w:tc>
        <w:tc>
          <w:tcPr>
            <w:tcW w:w="1275" w:type="dxa"/>
          </w:tcPr>
          <w:p w:rsidR="00CF6EC5" w:rsidRPr="00EB5AE0" w:rsidRDefault="00CF6EC5" w:rsidP="00CF6EC5">
            <w:pPr>
              <w:rPr>
                <w:sz w:val="16"/>
                <w:szCs w:val="16"/>
              </w:rPr>
            </w:pPr>
            <w:r>
              <w:rPr>
                <w:sz w:val="16"/>
                <w:szCs w:val="16"/>
              </w:rPr>
              <w:t>302,224 (2002-2003)</w:t>
            </w:r>
            <w:r>
              <w:rPr>
                <w:rStyle w:val="FootnoteReference"/>
                <w:sz w:val="16"/>
                <w:szCs w:val="16"/>
              </w:rPr>
              <w:footnoteReference w:id="13"/>
            </w:r>
          </w:p>
        </w:tc>
        <w:tc>
          <w:tcPr>
            <w:tcW w:w="1276" w:type="dxa"/>
          </w:tcPr>
          <w:p w:rsidR="00CF6EC5" w:rsidRPr="00EB5AE0" w:rsidRDefault="00CF6EC5" w:rsidP="00CF6EC5">
            <w:pPr>
              <w:rPr>
                <w:sz w:val="16"/>
                <w:szCs w:val="16"/>
              </w:rPr>
            </w:pPr>
            <w:r>
              <w:rPr>
                <w:sz w:val="16"/>
                <w:szCs w:val="16"/>
              </w:rPr>
              <w:t xml:space="preserve">20.6 million </w:t>
            </w:r>
            <w:r>
              <w:rPr>
                <w:rStyle w:val="FootnoteReference"/>
                <w:sz w:val="16"/>
                <w:szCs w:val="16"/>
              </w:rPr>
              <w:footnoteReference w:id="14"/>
            </w:r>
          </w:p>
        </w:tc>
        <w:tc>
          <w:tcPr>
            <w:tcW w:w="1282" w:type="dxa"/>
            <w:gridSpan w:val="2"/>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p>
        </w:tc>
      </w:tr>
      <w:tr w:rsidR="00CF6EC5" w:rsidTr="003837C6">
        <w:tc>
          <w:tcPr>
            <w:tcW w:w="2129" w:type="dxa"/>
          </w:tcPr>
          <w:p w:rsidR="00CF6EC5" w:rsidRPr="00242DB2" w:rsidRDefault="00CF6EC5" w:rsidP="00CF6EC5">
            <w:pPr>
              <w:tabs>
                <w:tab w:val="left" w:pos="1166"/>
              </w:tabs>
              <w:rPr>
                <w:sz w:val="16"/>
                <w:szCs w:val="16"/>
              </w:rPr>
            </w:pPr>
            <w:r w:rsidRPr="00242DB2">
              <w:rPr>
                <w:sz w:val="16"/>
                <w:szCs w:val="16"/>
              </w:rPr>
              <w:t>Urban stock</w:t>
            </w:r>
            <w:r>
              <w:rPr>
                <w:sz w:val="16"/>
                <w:szCs w:val="16"/>
              </w:rPr>
              <w:tab/>
            </w:r>
          </w:p>
        </w:tc>
        <w:tc>
          <w:tcPr>
            <w:tcW w:w="1234" w:type="dxa"/>
          </w:tcPr>
          <w:p w:rsidR="00CF6EC5" w:rsidRPr="00EB5AE0" w:rsidRDefault="00CF6EC5" w:rsidP="00CF6EC5">
            <w:pPr>
              <w:rPr>
                <w:sz w:val="16"/>
                <w:szCs w:val="16"/>
              </w:rPr>
            </w:pPr>
            <w:r w:rsidRPr="00EB5AE0">
              <w:rPr>
                <w:sz w:val="16"/>
                <w:szCs w:val="16"/>
              </w:rPr>
              <w:t>24 million</w:t>
            </w:r>
          </w:p>
        </w:tc>
        <w:tc>
          <w:tcPr>
            <w:tcW w:w="1275"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r>
              <w:rPr>
                <w:sz w:val="16"/>
                <w:szCs w:val="16"/>
              </w:rPr>
              <w:t xml:space="preserve">  6.9 million</w:t>
            </w:r>
          </w:p>
        </w:tc>
        <w:tc>
          <w:tcPr>
            <w:tcW w:w="1282" w:type="dxa"/>
            <w:gridSpan w:val="2"/>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p>
        </w:tc>
      </w:tr>
      <w:tr w:rsidR="00CF6EC5" w:rsidTr="003837C6">
        <w:tc>
          <w:tcPr>
            <w:tcW w:w="2129" w:type="dxa"/>
          </w:tcPr>
          <w:p w:rsidR="00CF6EC5" w:rsidRPr="00242DB2" w:rsidRDefault="00CF6EC5" w:rsidP="00CF6EC5">
            <w:pPr>
              <w:tabs>
                <w:tab w:val="left" w:pos="1166"/>
              </w:tabs>
              <w:rPr>
                <w:sz w:val="16"/>
                <w:szCs w:val="16"/>
              </w:rPr>
            </w:pPr>
          </w:p>
        </w:tc>
        <w:tc>
          <w:tcPr>
            <w:tcW w:w="1234" w:type="dxa"/>
          </w:tcPr>
          <w:p w:rsidR="00CF6EC5" w:rsidRPr="00EB5AE0" w:rsidRDefault="00CF6EC5" w:rsidP="00CF6EC5">
            <w:pPr>
              <w:rPr>
                <w:sz w:val="16"/>
                <w:szCs w:val="16"/>
              </w:rPr>
            </w:pPr>
          </w:p>
        </w:tc>
        <w:tc>
          <w:tcPr>
            <w:tcW w:w="1275"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r w:rsidR="00CF6EC5" w:rsidTr="003837C6">
        <w:tc>
          <w:tcPr>
            <w:tcW w:w="3363" w:type="dxa"/>
            <w:gridSpan w:val="2"/>
            <w:shd w:val="clear" w:color="auto" w:fill="95B3D7" w:themeFill="accent1" w:themeFillTint="99"/>
          </w:tcPr>
          <w:p w:rsidR="00CF6EC5" w:rsidRPr="00B9051A" w:rsidRDefault="00CF6EC5" w:rsidP="00CF6EC5">
            <w:pPr>
              <w:pStyle w:val="ListParagraph"/>
              <w:numPr>
                <w:ilvl w:val="0"/>
                <w:numId w:val="7"/>
              </w:numPr>
              <w:rPr>
                <w:b/>
                <w:sz w:val="16"/>
                <w:szCs w:val="16"/>
              </w:rPr>
            </w:pPr>
            <w:r w:rsidRPr="00B9051A">
              <w:rPr>
                <w:b/>
                <w:sz w:val="16"/>
                <w:szCs w:val="16"/>
              </w:rPr>
              <w:t>Housing Finance Institutions</w:t>
            </w:r>
          </w:p>
        </w:tc>
        <w:tc>
          <w:tcPr>
            <w:tcW w:w="1275" w:type="dxa"/>
            <w:shd w:val="clear" w:color="auto" w:fill="95B3D7" w:themeFill="accent1" w:themeFillTint="99"/>
          </w:tcPr>
          <w:p w:rsidR="00CF6EC5" w:rsidRPr="00436C2B" w:rsidRDefault="00CF6EC5" w:rsidP="00CF6EC5">
            <w:pPr>
              <w:rPr>
                <w:b/>
                <w:sz w:val="16"/>
                <w:szCs w:val="16"/>
              </w:rPr>
            </w:pPr>
          </w:p>
        </w:tc>
        <w:tc>
          <w:tcPr>
            <w:tcW w:w="1276" w:type="dxa"/>
            <w:shd w:val="clear" w:color="auto" w:fill="95B3D7" w:themeFill="accent1" w:themeFillTint="99"/>
          </w:tcPr>
          <w:p w:rsidR="00CF6EC5" w:rsidRPr="00436C2B" w:rsidRDefault="00CF6EC5" w:rsidP="00CF6EC5">
            <w:pPr>
              <w:rPr>
                <w:b/>
                <w:sz w:val="16"/>
                <w:szCs w:val="16"/>
              </w:rPr>
            </w:pPr>
          </w:p>
        </w:tc>
        <w:tc>
          <w:tcPr>
            <w:tcW w:w="1282" w:type="dxa"/>
            <w:gridSpan w:val="2"/>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r>
      <w:tr w:rsidR="00CF6EC5" w:rsidTr="003837C6">
        <w:tc>
          <w:tcPr>
            <w:tcW w:w="2129" w:type="dxa"/>
          </w:tcPr>
          <w:p w:rsidR="00CF6EC5" w:rsidRDefault="00CF6EC5" w:rsidP="00CF6EC5">
            <w:pPr>
              <w:rPr>
                <w:sz w:val="16"/>
                <w:szCs w:val="16"/>
              </w:rPr>
            </w:pPr>
            <w:r>
              <w:rPr>
                <w:sz w:val="16"/>
                <w:szCs w:val="16"/>
              </w:rPr>
              <w:t>Housing Finance by bank types</w:t>
            </w:r>
          </w:p>
          <w:p w:rsidR="00CF6EC5" w:rsidRDefault="00CF6EC5" w:rsidP="00CF6EC5">
            <w:pPr>
              <w:pStyle w:val="ListParagraph"/>
              <w:numPr>
                <w:ilvl w:val="0"/>
                <w:numId w:val="8"/>
              </w:numPr>
              <w:ind w:left="540"/>
              <w:rPr>
                <w:sz w:val="16"/>
                <w:szCs w:val="16"/>
              </w:rPr>
            </w:pPr>
            <w:r>
              <w:rPr>
                <w:sz w:val="16"/>
                <w:szCs w:val="16"/>
              </w:rPr>
              <w:t>State owned banks</w:t>
            </w:r>
          </w:p>
          <w:p w:rsidR="00CF6EC5" w:rsidRDefault="00CF6EC5" w:rsidP="00CF6EC5">
            <w:pPr>
              <w:pStyle w:val="ListParagraph"/>
              <w:numPr>
                <w:ilvl w:val="0"/>
                <w:numId w:val="8"/>
              </w:numPr>
              <w:ind w:left="540"/>
              <w:rPr>
                <w:sz w:val="16"/>
                <w:szCs w:val="16"/>
              </w:rPr>
            </w:pPr>
            <w:r>
              <w:rPr>
                <w:sz w:val="16"/>
                <w:szCs w:val="16"/>
              </w:rPr>
              <w:t>Private banks</w:t>
            </w:r>
          </w:p>
          <w:p w:rsidR="00CF6EC5" w:rsidRPr="00387B4A" w:rsidRDefault="00CF6EC5" w:rsidP="00CF6EC5">
            <w:pPr>
              <w:pStyle w:val="ListParagraph"/>
              <w:numPr>
                <w:ilvl w:val="0"/>
                <w:numId w:val="8"/>
              </w:numPr>
              <w:ind w:left="540"/>
              <w:rPr>
                <w:sz w:val="16"/>
                <w:szCs w:val="16"/>
              </w:rPr>
            </w:pPr>
            <w:r>
              <w:rPr>
                <w:sz w:val="16"/>
                <w:szCs w:val="16"/>
              </w:rPr>
              <w:t>Others</w:t>
            </w:r>
          </w:p>
        </w:tc>
        <w:tc>
          <w:tcPr>
            <w:tcW w:w="1234" w:type="dxa"/>
          </w:tcPr>
          <w:p w:rsidR="00CF6EC5" w:rsidRDefault="00CF6EC5" w:rsidP="00CF6EC5">
            <w:pPr>
              <w:rPr>
                <w:sz w:val="16"/>
                <w:szCs w:val="16"/>
              </w:rPr>
            </w:pPr>
          </w:p>
          <w:p w:rsidR="00CF6EC5" w:rsidRPr="00EB5AE0" w:rsidRDefault="00CF6EC5" w:rsidP="00CF6EC5">
            <w:pPr>
              <w:rPr>
                <w:sz w:val="16"/>
                <w:szCs w:val="16"/>
              </w:rPr>
            </w:pPr>
          </w:p>
          <w:p w:rsidR="00CF6EC5" w:rsidRPr="00EB5AE0" w:rsidRDefault="00CF6EC5" w:rsidP="00CF6EC5">
            <w:pPr>
              <w:rPr>
                <w:sz w:val="16"/>
                <w:szCs w:val="16"/>
              </w:rPr>
            </w:pPr>
            <w:r w:rsidRPr="00EB5AE0">
              <w:rPr>
                <w:sz w:val="16"/>
                <w:szCs w:val="16"/>
              </w:rPr>
              <w:t>38%</w:t>
            </w:r>
          </w:p>
          <w:p w:rsidR="00CF6EC5" w:rsidRPr="00EB5AE0" w:rsidRDefault="00CF6EC5" w:rsidP="00CF6EC5">
            <w:pPr>
              <w:rPr>
                <w:sz w:val="16"/>
                <w:szCs w:val="16"/>
              </w:rPr>
            </w:pPr>
            <w:r w:rsidRPr="00EB5AE0">
              <w:rPr>
                <w:sz w:val="16"/>
                <w:szCs w:val="16"/>
              </w:rPr>
              <w:t>49%</w:t>
            </w:r>
          </w:p>
          <w:p w:rsidR="00CF6EC5" w:rsidRPr="00EB5AE0" w:rsidRDefault="00CF6EC5" w:rsidP="00CF6EC5">
            <w:pPr>
              <w:rPr>
                <w:sz w:val="16"/>
                <w:szCs w:val="16"/>
              </w:rPr>
            </w:pPr>
            <w:r w:rsidRPr="00EB5AE0">
              <w:rPr>
                <w:sz w:val="16"/>
                <w:szCs w:val="16"/>
              </w:rPr>
              <w:t>23%</w:t>
            </w:r>
          </w:p>
        </w:tc>
        <w:tc>
          <w:tcPr>
            <w:tcW w:w="1275" w:type="dxa"/>
          </w:tcPr>
          <w:p w:rsidR="00CF6EC5" w:rsidRDefault="00CF6EC5" w:rsidP="00CF6EC5">
            <w:pPr>
              <w:rPr>
                <w:sz w:val="16"/>
                <w:szCs w:val="16"/>
              </w:rPr>
            </w:pPr>
          </w:p>
          <w:p w:rsidR="00CF6EC5" w:rsidRDefault="00CF6EC5" w:rsidP="00CF6EC5">
            <w:pPr>
              <w:rPr>
                <w:sz w:val="16"/>
                <w:szCs w:val="16"/>
              </w:rPr>
            </w:pPr>
          </w:p>
          <w:p w:rsidR="00CF6EC5" w:rsidRDefault="00CF6EC5" w:rsidP="00CF6EC5">
            <w:pPr>
              <w:rPr>
                <w:sz w:val="16"/>
                <w:szCs w:val="16"/>
              </w:rPr>
            </w:pPr>
            <w:r>
              <w:rPr>
                <w:sz w:val="16"/>
                <w:szCs w:val="16"/>
              </w:rPr>
              <w:t>43%</w:t>
            </w:r>
          </w:p>
          <w:p w:rsidR="00CF6EC5" w:rsidRDefault="00CF6EC5" w:rsidP="00CF6EC5">
            <w:pPr>
              <w:rPr>
                <w:sz w:val="16"/>
                <w:szCs w:val="16"/>
              </w:rPr>
            </w:pPr>
            <w:r>
              <w:rPr>
                <w:sz w:val="16"/>
                <w:szCs w:val="16"/>
              </w:rPr>
              <w:t>40%</w:t>
            </w:r>
          </w:p>
          <w:p w:rsidR="00CF6EC5" w:rsidRPr="00EB5AE0" w:rsidRDefault="00CF6EC5" w:rsidP="00CF6EC5">
            <w:pPr>
              <w:rPr>
                <w:sz w:val="16"/>
                <w:szCs w:val="16"/>
              </w:rPr>
            </w:pPr>
            <w:r>
              <w:rPr>
                <w:sz w:val="16"/>
                <w:szCs w:val="16"/>
              </w:rPr>
              <w:t>17%</w:t>
            </w:r>
          </w:p>
        </w:tc>
        <w:tc>
          <w:tcPr>
            <w:tcW w:w="1282" w:type="dxa"/>
            <w:gridSpan w:val="2"/>
          </w:tcPr>
          <w:p w:rsidR="00CF6EC5" w:rsidRPr="00EB5AE0" w:rsidRDefault="00CF6EC5" w:rsidP="00CF6EC5">
            <w:pPr>
              <w:rPr>
                <w:sz w:val="16"/>
                <w:szCs w:val="16"/>
              </w:rPr>
            </w:pPr>
          </w:p>
        </w:tc>
        <w:tc>
          <w:tcPr>
            <w:tcW w:w="1276" w:type="dxa"/>
          </w:tcPr>
          <w:p w:rsidR="00CF6EC5" w:rsidRDefault="00CF6EC5" w:rsidP="00CF6EC5">
            <w:pPr>
              <w:rPr>
                <w:sz w:val="16"/>
                <w:szCs w:val="16"/>
              </w:rPr>
            </w:pPr>
          </w:p>
          <w:p w:rsidR="00F36E91" w:rsidRDefault="00F36E91" w:rsidP="00CF6EC5">
            <w:pPr>
              <w:rPr>
                <w:sz w:val="16"/>
                <w:szCs w:val="16"/>
              </w:rPr>
            </w:pPr>
          </w:p>
          <w:p w:rsidR="00F36E91"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p>
        </w:tc>
        <w:tc>
          <w:tcPr>
            <w:tcW w:w="1276" w:type="dxa"/>
          </w:tcPr>
          <w:p w:rsidR="00CF6EC5" w:rsidRDefault="00CF6EC5" w:rsidP="00CF6EC5">
            <w:pPr>
              <w:rPr>
                <w:sz w:val="16"/>
                <w:szCs w:val="16"/>
              </w:rPr>
            </w:pPr>
          </w:p>
          <w:p w:rsidR="00CF6EC5" w:rsidRDefault="00CF6EC5" w:rsidP="00CF6EC5">
            <w:pPr>
              <w:rPr>
                <w:sz w:val="16"/>
                <w:szCs w:val="16"/>
              </w:rPr>
            </w:pPr>
          </w:p>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p>
        </w:tc>
      </w:tr>
      <w:tr w:rsidR="00CF6EC5" w:rsidTr="003837C6">
        <w:tc>
          <w:tcPr>
            <w:tcW w:w="2129" w:type="dxa"/>
          </w:tcPr>
          <w:p w:rsidR="00CF6EC5" w:rsidRPr="007701DE" w:rsidRDefault="00CF6EC5" w:rsidP="00CF6EC5">
            <w:pPr>
              <w:rPr>
                <w:sz w:val="16"/>
                <w:szCs w:val="16"/>
              </w:rPr>
            </w:pPr>
            <w:r w:rsidRPr="007701DE">
              <w:rPr>
                <w:sz w:val="16"/>
                <w:szCs w:val="16"/>
              </w:rPr>
              <w:t>SHFI</w:t>
            </w:r>
            <w:r>
              <w:rPr>
                <w:sz w:val="16"/>
                <w:szCs w:val="16"/>
              </w:rPr>
              <w:t>*</w:t>
            </w:r>
            <w:r w:rsidRPr="007701DE">
              <w:rPr>
                <w:sz w:val="16"/>
                <w:szCs w:val="16"/>
              </w:rPr>
              <w:t xml:space="preserve"> Total</w:t>
            </w:r>
          </w:p>
        </w:tc>
        <w:tc>
          <w:tcPr>
            <w:tcW w:w="1234" w:type="dxa"/>
          </w:tcPr>
          <w:p w:rsidR="00CF6EC5" w:rsidRPr="00EB5AE0" w:rsidRDefault="00CF6EC5" w:rsidP="00CF6EC5">
            <w:pPr>
              <w:rPr>
                <w:sz w:val="16"/>
                <w:szCs w:val="16"/>
              </w:rPr>
            </w:pPr>
            <w:r>
              <w:rPr>
                <w:sz w:val="16"/>
                <w:szCs w:val="16"/>
              </w:rPr>
              <w:t>NA</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p>
        </w:tc>
        <w:tc>
          <w:tcPr>
            <w:tcW w:w="1276" w:type="dxa"/>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p>
        </w:tc>
      </w:tr>
      <w:tr w:rsidR="00CF6EC5" w:rsidTr="003837C6">
        <w:tc>
          <w:tcPr>
            <w:tcW w:w="2129" w:type="dxa"/>
          </w:tcPr>
          <w:p w:rsidR="00CF6EC5" w:rsidRPr="007701DE" w:rsidRDefault="00CF6EC5" w:rsidP="00CF6EC5">
            <w:pPr>
              <w:rPr>
                <w:sz w:val="16"/>
                <w:szCs w:val="16"/>
              </w:rPr>
            </w:pPr>
            <w:r w:rsidRPr="007701DE">
              <w:rPr>
                <w:sz w:val="16"/>
                <w:szCs w:val="16"/>
              </w:rPr>
              <w:t>SHFI Public</w:t>
            </w:r>
          </w:p>
        </w:tc>
        <w:tc>
          <w:tcPr>
            <w:tcW w:w="1234" w:type="dxa"/>
          </w:tcPr>
          <w:p w:rsidR="00CF6EC5" w:rsidRPr="00EB5AE0" w:rsidRDefault="00CF6EC5" w:rsidP="00CF6EC5">
            <w:pPr>
              <w:rPr>
                <w:sz w:val="16"/>
                <w:szCs w:val="16"/>
              </w:rPr>
            </w:pPr>
            <w:r>
              <w:rPr>
                <w:sz w:val="16"/>
                <w:szCs w:val="16"/>
              </w:rPr>
              <w:t>NA</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p>
        </w:tc>
        <w:tc>
          <w:tcPr>
            <w:tcW w:w="1276" w:type="dxa"/>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p>
        </w:tc>
      </w:tr>
      <w:tr w:rsidR="00CF6EC5" w:rsidTr="003837C6">
        <w:tc>
          <w:tcPr>
            <w:tcW w:w="2129" w:type="dxa"/>
          </w:tcPr>
          <w:p w:rsidR="00CF6EC5" w:rsidRPr="007701DE" w:rsidRDefault="00CF6EC5" w:rsidP="00CF6EC5">
            <w:pPr>
              <w:rPr>
                <w:sz w:val="16"/>
                <w:szCs w:val="16"/>
              </w:rPr>
            </w:pPr>
            <w:r w:rsidRPr="007701DE">
              <w:rPr>
                <w:sz w:val="16"/>
                <w:szCs w:val="16"/>
              </w:rPr>
              <w:t>SHFI Private</w:t>
            </w:r>
          </w:p>
        </w:tc>
        <w:tc>
          <w:tcPr>
            <w:tcW w:w="1234" w:type="dxa"/>
          </w:tcPr>
          <w:p w:rsidR="00CF6EC5" w:rsidRPr="00EB5AE0" w:rsidRDefault="00CF6EC5" w:rsidP="00CF6EC5">
            <w:pPr>
              <w:rPr>
                <w:sz w:val="16"/>
                <w:szCs w:val="16"/>
              </w:rPr>
            </w:pPr>
            <w:r>
              <w:rPr>
                <w:sz w:val="16"/>
                <w:szCs w:val="16"/>
              </w:rPr>
              <w:t>NA</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p>
        </w:tc>
        <w:tc>
          <w:tcPr>
            <w:tcW w:w="1276" w:type="dxa"/>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p>
        </w:tc>
      </w:tr>
      <w:tr w:rsidR="00CF6EC5" w:rsidTr="003837C6">
        <w:tc>
          <w:tcPr>
            <w:tcW w:w="2129" w:type="dxa"/>
          </w:tcPr>
          <w:p w:rsidR="00CF6EC5" w:rsidRPr="007701DE" w:rsidRDefault="00CF6EC5" w:rsidP="00CF6EC5">
            <w:pPr>
              <w:tabs>
                <w:tab w:val="right" w:pos="1919"/>
              </w:tabs>
              <w:rPr>
                <w:sz w:val="16"/>
                <w:szCs w:val="16"/>
              </w:rPr>
            </w:pPr>
            <w:r w:rsidRPr="007701DE">
              <w:rPr>
                <w:sz w:val="16"/>
                <w:szCs w:val="16"/>
              </w:rPr>
              <w:t xml:space="preserve">HMFI </w:t>
            </w:r>
            <w:r>
              <w:rPr>
                <w:sz w:val="16"/>
                <w:szCs w:val="16"/>
              </w:rPr>
              <w:tab/>
            </w:r>
          </w:p>
        </w:tc>
        <w:tc>
          <w:tcPr>
            <w:tcW w:w="1234" w:type="dxa"/>
          </w:tcPr>
          <w:p w:rsidR="00CF6EC5" w:rsidRPr="00EB5AE0" w:rsidRDefault="00CF6EC5" w:rsidP="00CF6EC5">
            <w:pPr>
              <w:rPr>
                <w:sz w:val="16"/>
                <w:szCs w:val="16"/>
              </w:rPr>
            </w:pPr>
            <w:r>
              <w:rPr>
                <w:sz w:val="16"/>
                <w:szCs w:val="16"/>
              </w:rPr>
              <w:t>NA</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p>
        </w:tc>
        <w:tc>
          <w:tcPr>
            <w:tcW w:w="1276" w:type="dxa"/>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p>
        </w:tc>
      </w:tr>
      <w:tr w:rsidR="00CF6EC5" w:rsidTr="003837C6">
        <w:tc>
          <w:tcPr>
            <w:tcW w:w="2129" w:type="dxa"/>
          </w:tcPr>
          <w:p w:rsidR="00CF6EC5" w:rsidRPr="007701DE" w:rsidRDefault="00CF6EC5" w:rsidP="00CF6EC5">
            <w:pPr>
              <w:tabs>
                <w:tab w:val="right" w:pos="1919"/>
              </w:tabs>
              <w:rPr>
                <w:sz w:val="16"/>
                <w:szCs w:val="16"/>
              </w:rPr>
            </w:pPr>
          </w:p>
        </w:tc>
        <w:tc>
          <w:tcPr>
            <w:tcW w:w="1234" w:type="dxa"/>
          </w:tcPr>
          <w:p w:rsidR="00CF6EC5" w:rsidRPr="00EB5AE0" w:rsidRDefault="00CF6EC5" w:rsidP="00CF6EC5">
            <w:pPr>
              <w:rPr>
                <w:sz w:val="16"/>
                <w:szCs w:val="16"/>
              </w:rPr>
            </w:pP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r w:rsidR="00CF6EC5" w:rsidTr="003837C6">
        <w:tc>
          <w:tcPr>
            <w:tcW w:w="3363" w:type="dxa"/>
            <w:gridSpan w:val="2"/>
            <w:shd w:val="clear" w:color="auto" w:fill="95B3D7" w:themeFill="accent1" w:themeFillTint="99"/>
          </w:tcPr>
          <w:p w:rsidR="00CF6EC5" w:rsidRPr="00B9051A" w:rsidRDefault="00CF6EC5" w:rsidP="00CF6EC5">
            <w:pPr>
              <w:pStyle w:val="ListParagraph"/>
              <w:numPr>
                <w:ilvl w:val="0"/>
                <w:numId w:val="7"/>
              </w:numPr>
              <w:rPr>
                <w:b/>
                <w:sz w:val="16"/>
                <w:szCs w:val="16"/>
              </w:rPr>
            </w:pPr>
            <w:r w:rsidRPr="00B9051A">
              <w:rPr>
                <w:b/>
                <w:sz w:val="16"/>
                <w:szCs w:val="16"/>
              </w:rPr>
              <w:t>Provision of LT Funding</w:t>
            </w:r>
          </w:p>
        </w:tc>
        <w:tc>
          <w:tcPr>
            <w:tcW w:w="1275" w:type="dxa"/>
            <w:shd w:val="clear" w:color="auto" w:fill="95B3D7" w:themeFill="accent1" w:themeFillTint="99"/>
          </w:tcPr>
          <w:p w:rsidR="00CF6EC5" w:rsidRPr="00436C2B" w:rsidRDefault="00CF6EC5" w:rsidP="00CF6EC5">
            <w:pPr>
              <w:rPr>
                <w:b/>
                <w:sz w:val="16"/>
                <w:szCs w:val="16"/>
              </w:rPr>
            </w:pPr>
          </w:p>
        </w:tc>
        <w:tc>
          <w:tcPr>
            <w:tcW w:w="1282" w:type="dxa"/>
            <w:gridSpan w:val="2"/>
            <w:shd w:val="clear" w:color="auto" w:fill="95B3D7" w:themeFill="accent1" w:themeFillTint="99"/>
          </w:tcPr>
          <w:p w:rsidR="00CF6EC5" w:rsidRPr="00436C2B" w:rsidRDefault="00CF6EC5" w:rsidP="00CF6EC5">
            <w:pPr>
              <w:rPr>
                <w:b/>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r>
      <w:tr w:rsidR="00CF6EC5" w:rsidTr="003837C6">
        <w:tc>
          <w:tcPr>
            <w:tcW w:w="2129" w:type="dxa"/>
          </w:tcPr>
          <w:p w:rsidR="00CF6EC5" w:rsidRPr="007701DE" w:rsidRDefault="00CF6EC5" w:rsidP="00CF6EC5">
            <w:pPr>
              <w:rPr>
                <w:sz w:val="16"/>
                <w:szCs w:val="16"/>
              </w:rPr>
            </w:pPr>
            <w:r w:rsidRPr="007701DE">
              <w:rPr>
                <w:sz w:val="16"/>
                <w:szCs w:val="16"/>
              </w:rPr>
              <w:t>Refinance Facility Institution</w:t>
            </w:r>
          </w:p>
        </w:tc>
        <w:tc>
          <w:tcPr>
            <w:tcW w:w="1234" w:type="dxa"/>
          </w:tcPr>
          <w:p w:rsidR="00CF6EC5" w:rsidRPr="00EB5AE0" w:rsidRDefault="00CF6EC5" w:rsidP="00CF6EC5">
            <w:pPr>
              <w:rPr>
                <w:sz w:val="16"/>
                <w:szCs w:val="16"/>
              </w:rPr>
            </w:pPr>
            <w:r>
              <w:rPr>
                <w:sz w:val="16"/>
                <w:szCs w:val="16"/>
              </w:rPr>
              <w:t>SMF, Indonesia</w:t>
            </w:r>
            <w:r>
              <w:rPr>
                <w:rStyle w:val="FootnoteReference"/>
                <w:sz w:val="16"/>
                <w:szCs w:val="16"/>
              </w:rPr>
              <w:footnoteReference w:id="15"/>
            </w:r>
          </w:p>
        </w:tc>
        <w:tc>
          <w:tcPr>
            <w:tcW w:w="1275" w:type="dxa"/>
          </w:tcPr>
          <w:p w:rsidR="00CF6EC5" w:rsidRPr="00EB5AE0" w:rsidRDefault="00CF6EC5" w:rsidP="00CF6EC5">
            <w:pPr>
              <w:rPr>
                <w:sz w:val="16"/>
                <w:szCs w:val="16"/>
              </w:rPr>
            </w:pPr>
            <w:proofErr w:type="spellStart"/>
            <w:r>
              <w:rPr>
                <w:sz w:val="16"/>
                <w:szCs w:val="16"/>
              </w:rPr>
              <w:t>Cagamas</w:t>
            </w:r>
            <w:proofErr w:type="spellEnd"/>
          </w:p>
        </w:tc>
        <w:tc>
          <w:tcPr>
            <w:tcW w:w="1282" w:type="dxa"/>
            <w:gridSpan w:val="2"/>
          </w:tcPr>
          <w:p w:rsidR="00CF6EC5" w:rsidRPr="00EB5AE0" w:rsidRDefault="00CF6EC5" w:rsidP="00CF6EC5">
            <w:pPr>
              <w:rPr>
                <w:sz w:val="16"/>
                <w:szCs w:val="16"/>
              </w:rPr>
            </w:pPr>
            <w:r>
              <w:rPr>
                <w:sz w:val="16"/>
                <w:szCs w:val="16"/>
              </w:rPr>
              <w:t>Secondary Mortgage Corporation (SMC)</w:t>
            </w:r>
          </w:p>
        </w:tc>
        <w:tc>
          <w:tcPr>
            <w:tcW w:w="1276" w:type="dxa"/>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r>
              <w:rPr>
                <w:sz w:val="16"/>
                <w:szCs w:val="16"/>
              </w:rPr>
              <w:t>Mongolian Mortgage Corporation (MIK)</w:t>
            </w:r>
          </w:p>
        </w:tc>
        <w:tc>
          <w:tcPr>
            <w:tcW w:w="1276" w:type="dxa"/>
          </w:tcPr>
          <w:p w:rsidR="00CF6EC5" w:rsidRPr="00EB5AE0" w:rsidRDefault="00CF6EC5" w:rsidP="00CF6EC5">
            <w:pPr>
              <w:rPr>
                <w:sz w:val="16"/>
                <w:szCs w:val="16"/>
              </w:rPr>
            </w:pPr>
            <w:r>
              <w:rPr>
                <w:sz w:val="16"/>
                <w:szCs w:val="16"/>
              </w:rPr>
              <w:t>No</w:t>
            </w:r>
          </w:p>
        </w:tc>
        <w:tc>
          <w:tcPr>
            <w:tcW w:w="1276" w:type="dxa"/>
          </w:tcPr>
          <w:p w:rsidR="00CF6EC5" w:rsidRPr="00EB5AE0" w:rsidRDefault="00CF6EC5" w:rsidP="00CF6EC5">
            <w:pPr>
              <w:rPr>
                <w:sz w:val="16"/>
                <w:szCs w:val="16"/>
              </w:rPr>
            </w:pPr>
          </w:p>
        </w:tc>
      </w:tr>
      <w:tr w:rsidR="00CF6EC5" w:rsidTr="003837C6">
        <w:tc>
          <w:tcPr>
            <w:tcW w:w="2129" w:type="dxa"/>
          </w:tcPr>
          <w:p w:rsidR="00CF6EC5" w:rsidRPr="007701DE" w:rsidRDefault="00CF6EC5" w:rsidP="00CF6EC5">
            <w:pPr>
              <w:rPr>
                <w:sz w:val="16"/>
                <w:szCs w:val="16"/>
              </w:rPr>
            </w:pPr>
            <w:r>
              <w:rPr>
                <w:sz w:val="16"/>
                <w:szCs w:val="16"/>
              </w:rPr>
              <w:t>Securitization/MBS</w:t>
            </w:r>
          </w:p>
        </w:tc>
        <w:tc>
          <w:tcPr>
            <w:tcW w:w="1234" w:type="dxa"/>
          </w:tcPr>
          <w:p w:rsidR="00CF6EC5" w:rsidRPr="00EB5AE0" w:rsidRDefault="00CF6EC5" w:rsidP="00CF6EC5">
            <w:pPr>
              <w:rPr>
                <w:sz w:val="16"/>
                <w:szCs w:val="16"/>
              </w:rPr>
            </w:pPr>
            <w:r>
              <w:rPr>
                <w:sz w:val="16"/>
                <w:szCs w:val="16"/>
              </w:rPr>
              <w:t>SMF, Indonesia</w:t>
            </w:r>
          </w:p>
        </w:tc>
        <w:tc>
          <w:tcPr>
            <w:tcW w:w="1275" w:type="dxa"/>
          </w:tcPr>
          <w:p w:rsidR="00CF6EC5" w:rsidRPr="00EB5AE0" w:rsidRDefault="00CF6EC5" w:rsidP="00CF6EC5">
            <w:pPr>
              <w:rPr>
                <w:sz w:val="16"/>
                <w:szCs w:val="16"/>
              </w:rPr>
            </w:pPr>
            <w:r>
              <w:rPr>
                <w:sz w:val="16"/>
                <w:szCs w:val="16"/>
              </w:rPr>
              <w:t>Yes</w:t>
            </w:r>
          </w:p>
        </w:tc>
        <w:tc>
          <w:tcPr>
            <w:tcW w:w="1282" w:type="dxa"/>
            <w:gridSpan w:val="2"/>
          </w:tcPr>
          <w:p w:rsidR="00CF6EC5" w:rsidRPr="00EB5AE0" w:rsidRDefault="00CF6EC5" w:rsidP="00CF6EC5">
            <w:pPr>
              <w:rPr>
                <w:sz w:val="16"/>
                <w:szCs w:val="16"/>
              </w:rPr>
            </w:pPr>
            <w:r>
              <w:rPr>
                <w:sz w:val="16"/>
                <w:szCs w:val="16"/>
              </w:rPr>
              <w:t>SMC</w:t>
            </w:r>
          </w:p>
        </w:tc>
        <w:tc>
          <w:tcPr>
            <w:tcW w:w="1276" w:type="dxa"/>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r>
              <w:rPr>
                <w:sz w:val="16"/>
                <w:szCs w:val="16"/>
              </w:rPr>
              <w:t>MIK</w:t>
            </w:r>
          </w:p>
        </w:tc>
        <w:tc>
          <w:tcPr>
            <w:tcW w:w="1276" w:type="dxa"/>
          </w:tcPr>
          <w:p w:rsidR="00CF6EC5" w:rsidRPr="00EB5AE0" w:rsidRDefault="00CF6EC5" w:rsidP="00CF6EC5">
            <w:pPr>
              <w:rPr>
                <w:sz w:val="16"/>
                <w:szCs w:val="16"/>
              </w:rPr>
            </w:pPr>
            <w:r>
              <w:rPr>
                <w:sz w:val="16"/>
                <w:szCs w:val="16"/>
              </w:rPr>
              <w:t>No</w:t>
            </w:r>
          </w:p>
        </w:tc>
        <w:tc>
          <w:tcPr>
            <w:tcW w:w="1276" w:type="dxa"/>
          </w:tcPr>
          <w:p w:rsidR="00CF6EC5" w:rsidRPr="00EB5AE0" w:rsidRDefault="00CF6EC5" w:rsidP="00CF6EC5">
            <w:pPr>
              <w:rPr>
                <w:sz w:val="16"/>
                <w:szCs w:val="16"/>
              </w:rPr>
            </w:pPr>
          </w:p>
        </w:tc>
      </w:tr>
      <w:tr w:rsidR="00CF6EC5" w:rsidTr="003837C6">
        <w:tc>
          <w:tcPr>
            <w:tcW w:w="2129" w:type="dxa"/>
          </w:tcPr>
          <w:p w:rsidR="00CF6EC5" w:rsidRPr="007701DE" w:rsidRDefault="00CF6EC5" w:rsidP="00CF6EC5">
            <w:pPr>
              <w:rPr>
                <w:sz w:val="16"/>
                <w:szCs w:val="16"/>
              </w:rPr>
            </w:pPr>
            <w:r>
              <w:rPr>
                <w:sz w:val="16"/>
                <w:szCs w:val="16"/>
              </w:rPr>
              <w:t xml:space="preserve">REITS </w:t>
            </w:r>
            <w:proofErr w:type="spellStart"/>
            <w:r>
              <w:rPr>
                <w:sz w:val="16"/>
                <w:szCs w:val="16"/>
              </w:rPr>
              <w:t>etc</w:t>
            </w:r>
            <w:proofErr w:type="spellEnd"/>
          </w:p>
        </w:tc>
        <w:tc>
          <w:tcPr>
            <w:tcW w:w="1234" w:type="dxa"/>
          </w:tcPr>
          <w:p w:rsidR="00CF6EC5" w:rsidRPr="00EB5AE0" w:rsidRDefault="00CF6EC5" w:rsidP="00CF6EC5">
            <w:pPr>
              <w:rPr>
                <w:sz w:val="16"/>
                <w:szCs w:val="16"/>
              </w:rPr>
            </w:pPr>
            <w:r>
              <w:rPr>
                <w:sz w:val="16"/>
                <w:szCs w:val="16"/>
              </w:rPr>
              <w:t>NA</w:t>
            </w:r>
          </w:p>
        </w:tc>
        <w:tc>
          <w:tcPr>
            <w:tcW w:w="1275" w:type="dxa"/>
          </w:tcPr>
          <w:p w:rsidR="00CF6EC5" w:rsidRPr="00EB5AE0" w:rsidRDefault="00CF6EC5" w:rsidP="00CF6EC5">
            <w:pPr>
              <w:rPr>
                <w:sz w:val="16"/>
                <w:szCs w:val="16"/>
              </w:rPr>
            </w:pPr>
            <w:r>
              <w:rPr>
                <w:sz w:val="16"/>
                <w:szCs w:val="16"/>
              </w:rPr>
              <w:t>Yes</w:t>
            </w:r>
          </w:p>
        </w:tc>
        <w:tc>
          <w:tcPr>
            <w:tcW w:w="1282" w:type="dxa"/>
            <w:gridSpan w:val="2"/>
          </w:tcPr>
          <w:p w:rsidR="00CF6EC5" w:rsidRPr="00EB5AE0" w:rsidRDefault="00CF6EC5" w:rsidP="00CF6EC5">
            <w:pPr>
              <w:rPr>
                <w:sz w:val="16"/>
                <w:szCs w:val="16"/>
              </w:rPr>
            </w:pPr>
            <w:r>
              <w:rPr>
                <w:sz w:val="16"/>
                <w:szCs w:val="16"/>
              </w:rPr>
              <w:t>No</w:t>
            </w:r>
          </w:p>
        </w:tc>
        <w:tc>
          <w:tcPr>
            <w:tcW w:w="1276" w:type="dxa"/>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r>
              <w:rPr>
                <w:sz w:val="16"/>
                <w:szCs w:val="16"/>
              </w:rPr>
              <w:t>No</w:t>
            </w:r>
          </w:p>
        </w:tc>
        <w:tc>
          <w:tcPr>
            <w:tcW w:w="1276" w:type="dxa"/>
          </w:tcPr>
          <w:p w:rsidR="00CF6EC5" w:rsidRPr="00EB5AE0" w:rsidRDefault="00CF6EC5" w:rsidP="00CF6EC5">
            <w:pPr>
              <w:rPr>
                <w:sz w:val="16"/>
                <w:szCs w:val="16"/>
              </w:rPr>
            </w:pPr>
            <w:r>
              <w:rPr>
                <w:sz w:val="16"/>
                <w:szCs w:val="16"/>
              </w:rPr>
              <w:t>No</w:t>
            </w:r>
          </w:p>
        </w:tc>
        <w:tc>
          <w:tcPr>
            <w:tcW w:w="1276" w:type="dxa"/>
          </w:tcPr>
          <w:p w:rsidR="00CF6EC5" w:rsidRPr="00EB5AE0" w:rsidRDefault="00CF6EC5" w:rsidP="00CF6EC5">
            <w:pPr>
              <w:rPr>
                <w:sz w:val="16"/>
                <w:szCs w:val="16"/>
              </w:rPr>
            </w:pPr>
          </w:p>
        </w:tc>
      </w:tr>
      <w:tr w:rsidR="00CF6EC5" w:rsidTr="003837C6">
        <w:tc>
          <w:tcPr>
            <w:tcW w:w="2129" w:type="dxa"/>
          </w:tcPr>
          <w:p w:rsidR="00CF6EC5" w:rsidRDefault="00CF6EC5" w:rsidP="00CF6EC5">
            <w:pPr>
              <w:rPr>
                <w:sz w:val="16"/>
                <w:szCs w:val="16"/>
              </w:rPr>
            </w:pPr>
          </w:p>
        </w:tc>
        <w:tc>
          <w:tcPr>
            <w:tcW w:w="1234" w:type="dxa"/>
          </w:tcPr>
          <w:p w:rsidR="00CF6EC5" w:rsidRPr="00EB5AE0" w:rsidRDefault="00CF6EC5" w:rsidP="00CF6EC5">
            <w:pPr>
              <w:rPr>
                <w:sz w:val="16"/>
                <w:szCs w:val="16"/>
              </w:rPr>
            </w:pP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r w:rsidR="00CF6EC5" w:rsidTr="003837C6">
        <w:tc>
          <w:tcPr>
            <w:tcW w:w="3363" w:type="dxa"/>
            <w:gridSpan w:val="2"/>
            <w:shd w:val="clear" w:color="auto" w:fill="95B3D7" w:themeFill="accent1" w:themeFillTint="99"/>
          </w:tcPr>
          <w:p w:rsidR="00CF6EC5" w:rsidRPr="00B9051A" w:rsidRDefault="00CF6EC5" w:rsidP="00CF6EC5">
            <w:pPr>
              <w:pStyle w:val="ListParagraph"/>
              <w:numPr>
                <w:ilvl w:val="0"/>
                <w:numId w:val="7"/>
              </w:numPr>
              <w:rPr>
                <w:b/>
                <w:sz w:val="16"/>
                <w:szCs w:val="16"/>
              </w:rPr>
            </w:pPr>
            <w:r w:rsidRPr="00B9051A">
              <w:rPr>
                <w:b/>
                <w:sz w:val="16"/>
                <w:szCs w:val="16"/>
              </w:rPr>
              <w:t>Regulatory Regimes</w:t>
            </w:r>
          </w:p>
        </w:tc>
        <w:tc>
          <w:tcPr>
            <w:tcW w:w="1275" w:type="dxa"/>
            <w:shd w:val="clear" w:color="auto" w:fill="95B3D7" w:themeFill="accent1" w:themeFillTint="99"/>
          </w:tcPr>
          <w:p w:rsidR="00CF6EC5" w:rsidRPr="00436C2B" w:rsidRDefault="00CF6EC5" w:rsidP="00CF6EC5">
            <w:pPr>
              <w:rPr>
                <w:b/>
                <w:sz w:val="16"/>
                <w:szCs w:val="16"/>
              </w:rPr>
            </w:pPr>
          </w:p>
        </w:tc>
        <w:tc>
          <w:tcPr>
            <w:tcW w:w="1282" w:type="dxa"/>
            <w:gridSpan w:val="2"/>
            <w:shd w:val="clear" w:color="auto" w:fill="95B3D7" w:themeFill="accent1" w:themeFillTint="99"/>
          </w:tcPr>
          <w:p w:rsidR="00CF6EC5" w:rsidRPr="00436C2B" w:rsidRDefault="00CF6EC5" w:rsidP="00CF6EC5">
            <w:pPr>
              <w:rPr>
                <w:b/>
                <w:sz w:val="16"/>
                <w:szCs w:val="16"/>
              </w:rPr>
            </w:pPr>
          </w:p>
        </w:tc>
        <w:tc>
          <w:tcPr>
            <w:tcW w:w="1276" w:type="dxa"/>
            <w:shd w:val="clear" w:color="auto" w:fill="95B3D7" w:themeFill="accent1" w:themeFillTint="99"/>
          </w:tcPr>
          <w:p w:rsidR="00CF6EC5" w:rsidRDefault="00CF6EC5" w:rsidP="00CF6EC5"/>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r>
      <w:tr w:rsidR="00CF6EC5" w:rsidTr="003837C6">
        <w:tc>
          <w:tcPr>
            <w:tcW w:w="2129" w:type="dxa"/>
          </w:tcPr>
          <w:p w:rsidR="00CF6EC5" w:rsidRPr="00752DFF" w:rsidRDefault="00CF6EC5" w:rsidP="00CF6EC5">
            <w:pPr>
              <w:rPr>
                <w:sz w:val="16"/>
                <w:szCs w:val="16"/>
              </w:rPr>
            </w:pPr>
            <w:r>
              <w:rPr>
                <w:sz w:val="16"/>
                <w:szCs w:val="16"/>
              </w:rPr>
              <w:t>Housing authority/ministry</w:t>
            </w:r>
          </w:p>
        </w:tc>
        <w:tc>
          <w:tcPr>
            <w:tcW w:w="1234" w:type="dxa"/>
          </w:tcPr>
          <w:p w:rsidR="00CF6EC5" w:rsidRPr="00EB5AE0" w:rsidRDefault="00CF6EC5" w:rsidP="00CF6EC5">
            <w:pPr>
              <w:rPr>
                <w:sz w:val="16"/>
                <w:szCs w:val="16"/>
              </w:rPr>
            </w:pPr>
            <w:r w:rsidRPr="00EB5AE0">
              <w:rPr>
                <w:sz w:val="16"/>
                <w:szCs w:val="16"/>
              </w:rPr>
              <w:t xml:space="preserve">Ministry of Settlement and Regional </w:t>
            </w:r>
            <w:r w:rsidRPr="00EB5AE0">
              <w:rPr>
                <w:sz w:val="16"/>
                <w:szCs w:val="16"/>
              </w:rPr>
              <w:lastRenderedPageBreak/>
              <w:t>Facilities</w:t>
            </w:r>
          </w:p>
        </w:tc>
        <w:tc>
          <w:tcPr>
            <w:tcW w:w="1275" w:type="dxa"/>
          </w:tcPr>
          <w:p w:rsidR="00CF6EC5" w:rsidRPr="00EB5AE0" w:rsidRDefault="00CF6EC5" w:rsidP="00CF6EC5">
            <w:pPr>
              <w:rPr>
                <w:sz w:val="16"/>
                <w:szCs w:val="16"/>
              </w:rPr>
            </w:pPr>
            <w:r>
              <w:rPr>
                <w:sz w:val="16"/>
                <w:szCs w:val="16"/>
              </w:rPr>
              <w:lastRenderedPageBreak/>
              <w:t>NA</w:t>
            </w:r>
          </w:p>
        </w:tc>
        <w:tc>
          <w:tcPr>
            <w:tcW w:w="1282" w:type="dxa"/>
            <w:gridSpan w:val="2"/>
          </w:tcPr>
          <w:p w:rsidR="00CF6EC5" w:rsidRPr="00EB5AE0" w:rsidRDefault="00CF6EC5" w:rsidP="00CF6EC5">
            <w:pPr>
              <w:rPr>
                <w:sz w:val="16"/>
                <w:szCs w:val="16"/>
              </w:rPr>
            </w:pPr>
            <w:r>
              <w:rPr>
                <w:sz w:val="16"/>
                <w:szCs w:val="16"/>
              </w:rPr>
              <w:t>Ministry of Finance</w:t>
            </w:r>
          </w:p>
        </w:tc>
        <w:tc>
          <w:tcPr>
            <w:tcW w:w="1276" w:type="dxa"/>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r w:rsidRPr="00B95BE1">
              <w:rPr>
                <w:sz w:val="16"/>
                <w:szCs w:val="16"/>
              </w:rPr>
              <w:t xml:space="preserve">The Ministry of Health and Social Welfare </w:t>
            </w:r>
            <w:r w:rsidRPr="00B95BE1">
              <w:rPr>
                <w:sz w:val="16"/>
                <w:szCs w:val="16"/>
              </w:rPr>
              <w:lastRenderedPageBreak/>
              <w:t>and the Ministry of Infrastructure Development</w:t>
            </w:r>
            <w:r>
              <w:rPr>
                <w:rStyle w:val="FootnoteReference"/>
                <w:sz w:val="16"/>
                <w:szCs w:val="16"/>
              </w:rPr>
              <w:footnoteReference w:id="16"/>
            </w:r>
          </w:p>
        </w:tc>
        <w:tc>
          <w:tcPr>
            <w:tcW w:w="1276" w:type="dxa"/>
          </w:tcPr>
          <w:p w:rsidR="00CF6EC5" w:rsidRPr="00EB5AE0" w:rsidRDefault="00CF6EC5" w:rsidP="00CF6EC5">
            <w:pPr>
              <w:rPr>
                <w:sz w:val="16"/>
                <w:szCs w:val="16"/>
              </w:rPr>
            </w:pPr>
            <w:r>
              <w:rPr>
                <w:sz w:val="16"/>
                <w:szCs w:val="16"/>
              </w:rPr>
              <w:lastRenderedPageBreak/>
              <w:t xml:space="preserve">Ministry of Construction (through </w:t>
            </w:r>
            <w:r w:rsidRPr="004E4F42">
              <w:rPr>
                <w:sz w:val="16"/>
                <w:szCs w:val="16"/>
              </w:rPr>
              <w:t xml:space="preserve">Real </w:t>
            </w:r>
            <w:r w:rsidRPr="004E4F42">
              <w:rPr>
                <w:sz w:val="16"/>
                <w:szCs w:val="16"/>
              </w:rPr>
              <w:lastRenderedPageBreak/>
              <w:t>Estate Market Management Department</w:t>
            </w:r>
            <w:r>
              <w:rPr>
                <w:sz w:val="16"/>
                <w:szCs w:val="16"/>
              </w:rPr>
              <w:t>)</w:t>
            </w:r>
          </w:p>
        </w:tc>
        <w:tc>
          <w:tcPr>
            <w:tcW w:w="1276" w:type="dxa"/>
          </w:tcPr>
          <w:p w:rsidR="00CF6EC5" w:rsidRPr="00EB5AE0" w:rsidRDefault="00CF6EC5" w:rsidP="00CF6EC5">
            <w:pPr>
              <w:rPr>
                <w:sz w:val="16"/>
                <w:szCs w:val="16"/>
              </w:rPr>
            </w:pPr>
          </w:p>
        </w:tc>
      </w:tr>
      <w:tr w:rsidR="00CF6EC5" w:rsidTr="003837C6">
        <w:tc>
          <w:tcPr>
            <w:tcW w:w="2129" w:type="dxa"/>
          </w:tcPr>
          <w:p w:rsidR="00CF6EC5" w:rsidRPr="00752DFF" w:rsidRDefault="00CF6EC5" w:rsidP="00CF6EC5">
            <w:pPr>
              <w:rPr>
                <w:sz w:val="16"/>
                <w:szCs w:val="16"/>
              </w:rPr>
            </w:pPr>
            <w:r w:rsidRPr="00752DFF">
              <w:rPr>
                <w:sz w:val="16"/>
                <w:szCs w:val="16"/>
              </w:rPr>
              <w:lastRenderedPageBreak/>
              <w:t>Regulatory Regime-Central Bank</w:t>
            </w:r>
          </w:p>
        </w:tc>
        <w:tc>
          <w:tcPr>
            <w:tcW w:w="1234" w:type="dxa"/>
          </w:tcPr>
          <w:p w:rsidR="00CF6EC5" w:rsidRPr="00EB5AE0" w:rsidRDefault="00CF6EC5" w:rsidP="00CF6EC5">
            <w:pPr>
              <w:rPr>
                <w:sz w:val="16"/>
                <w:szCs w:val="16"/>
              </w:rPr>
            </w:pPr>
            <w:r>
              <w:rPr>
                <w:sz w:val="16"/>
                <w:szCs w:val="16"/>
              </w:rPr>
              <w:t xml:space="preserve">Bank of Indonesia (BI), </w:t>
            </w:r>
          </w:p>
        </w:tc>
        <w:tc>
          <w:tcPr>
            <w:tcW w:w="1275" w:type="dxa"/>
          </w:tcPr>
          <w:p w:rsidR="00CF6EC5" w:rsidRPr="00284100" w:rsidRDefault="00CF6EC5" w:rsidP="00CF6EC5">
            <w:pPr>
              <w:rPr>
                <w:rFonts w:cstheme="minorHAnsi"/>
                <w:sz w:val="16"/>
                <w:szCs w:val="16"/>
              </w:rPr>
            </w:pPr>
            <w:r w:rsidRPr="00284100">
              <w:rPr>
                <w:rFonts w:cstheme="minorHAnsi"/>
                <w:sz w:val="16"/>
                <w:szCs w:val="16"/>
              </w:rPr>
              <w:t>Bank Negara Malaysia, the Central Bank of Malaysia</w:t>
            </w:r>
            <w:r>
              <w:rPr>
                <w:rStyle w:val="FootnoteReference"/>
                <w:rFonts w:cstheme="minorHAnsi"/>
                <w:sz w:val="16"/>
                <w:szCs w:val="16"/>
              </w:rPr>
              <w:footnoteReference w:id="17"/>
            </w:r>
          </w:p>
        </w:tc>
        <w:tc>
          <w:tcPr>
            <w:tcW w:w="1282" w:type="dxa"/>
            <w:gridSpan w:val="2"/>
          </w:tcPr>
          <w:p w:rsidR="00CF6EC5" w:rsidRPr="00EB5AE0" w:rsidRDefault="00CF6EC5" w:rsidP="00CF6EC5">
            <w:pPr>
              <w:rPr>
                <w:sz w:val="16"/>
                <w:szCs w:val="16"/>
              </w:rPr>
            </w:pPr>
            <w:r>
              <w:rPr>
                <w:sz w:val="16"/>
                <w:szCs w:val="16"/>
              </w:rPr>
              <w:t>Bank of Thailand</w:t>
            </w:r>
          </w:p>
        </w:tc>
        <w:tc>
          <w:tcPr>
            <w:tcW w:w="1276" w:type="dxa"/>
          </w:tcPr>
          <w:p w:rsidR="00CF6EC5" w:rsidRPr="00EB5AE0" w:rsidRDefault="00CF6EC5" w:rsidP="00CF6EC5">
            <w:pPr>
              <w:rPr>
                <w:sz w:val="16"/>
                <w:szCs w:val="16"/>
              </w:rPr>
            </w:pPr>
            <w:r>
              <w:rPr>
                <w:sz w:val="16"/>
                <w:szCs w:val="16"/>
              </w:rPr>
              <w:t>BSP, The Central Bank of Philippines</w:t>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r w:rsidR="00CF6EC5" w:rsidTr="003837C6">
        <w:tc>
          <w:tcPr>
            <w:tcW w:w="2129" w:type="dxa"/>
          </w:tcPr>
          <w:p w:rsidR="00CF6EC5" w:rsidRPr="00752DFF" w:rsidRDefault="00CF6EC5" w:rsidP="00CF6EC5">
            <w:pPr>
              <w:rPr>
                <w:sz w:val="16"/>
                <w:szCs w:val="16"/>
              </w:rPr>
            </w:pPr>
            <w:r w:rsidRPr="00752DFF">
              <w:rPr>
                <w:sz w:val="16"/>
                <w:szCs w:val="16"/>
              </w:rPr>
              <w:t>Regulatory regime-other</w:t>
            </w:r>
          </w:p>
        </w:tc>
        <w:tc>
          <w:tcPr>
            <w:tcW w:w="1234" w:type="dxa"/>
          </w:tcPr>
          <w:p w:rsidR="00CF6EC5" w:rsidRPr="00EB5AE0" w:rsidRDefault="00CF6EC5" w:rsidP="00CF6EC5">
            <w:pPr>
              <w:rPr>
                <w:sz w:val="16"/>
                <w:szCs w:val="16"/>
              </w:rPr>
            </w:pPr>
            <w:r>
              <w:rPr>
                <w:sz w:val="16"/>
                <w:szCs w:val="16"/>
              </w:rPr>
              <w:t>Ministry of Finance</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r>
              <w:rPr>
                <w:sz w:val="16"/>
                <w:szCs w:val="16"/>
              </w:rPr>
              <w:t>No</w:t>
            </w:r>
          </w:p>
        </w:tc>
        <w:tc>
          <w:tcPr>
            <w:tcW w:w="1276" w:type="dxa"/>
          </w:tcPr>
          <w:p w:rsidR="00CF6EC5" w:rsidRPr="00EB5AE0" w:rsidRDefault="00CF6EC5" w:rsidP="00CF6EC5">
            <w:pPr>
              <w:rPr>
                <w:sz w:val="16"/>
                <w:szCs w:val="16"/>
              </w:rPr>
            </w:pPr>
            <w:r w:rsidRPr="009D1E53">
              <w:rPr>
                <w:rFonts w:eastAsia="Times New Roman" w:cstheme="minorHAnsi"/>
                <w:bCs/>
                <w:sz w:val="16"/>
                <w:szCs w:val="16"/>
              </w:rPr>
              <w:t>Housing and Land Use Regulatory Board</w:t>
            </w:r>
            <w:r>
              <w:rPr>
                <w:rFonts w:eastAsia="Times New Roman" w:cstheme="minorHAnsi"/>
                <w:bCs/>
                <w:sz w:val="16"/>
                <w:szCs w:val="16"/>
              </w:rPr>
              <w:t>,</w:t>
            </w:r>
            <w:r w:rsidRPr="009D1E53">
              <w:rPr>
                <w:rFonts w:eastAsia="Times New Roman" w:cstheme="minorHAnsi"/>
                <w:bCs/>
                <w:sz w:val="16"/>
                <w:szCs w:val="16"/>
              </w:rPr>
              <w:t xml:space="preserve"> (HLURB), Philippines</w:t>
            </w:r>
            <w:r>
              <w:rPr>
                <w:rStyle w:val="FootnoteReference"/>
                <w:rFonts w:eastAsia="Times New Roman" w:cstheme="minorHAnsi"/>
                <w:bCs/>
                <w:sz w:val="16"/>
                <w:szCs w:val="16"/>
              </w:rPr>
              <w:footnoteReference w:id="18"/>
            </w:r>
            <w:r>
              <w:rPr>
                <w:rFonts w:eastAsia="Times New Roman" w:cstheme="minorHAnsi"/>
                <w:bCs/>
                <w:sz w:val="16"/>
                <w:szCs w:val="16"/>
              </w:rPr>
              <w:t>,  Human Settlement Regulatory Commission</w:t>
            </w:r>
            <w:r>
              <w:rPr>
                <w:rStyle w:val="FootnoteReference"/>
                <w:rFonts w:eastAsia="Times New Roman" w:cstheme="minorHAnsi"/>
                <w:bCs/>
                <w:sz w:val="16"/>
                <w:szCs w:val="16"/>
              </w:rPr>
              <w:footnoteReference w:id="19"/>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r w:rsidR="00CF6EC5" w:rsidTr="003837C6">
        <w:tc>
          <w:tcPr>
            <w:tcW w:w="2129" w:type="dxa"/>
          </w:tcPr>
          <w:p w:rsidR="00CF6EC5" w:rsidRPr="00752DFF" w:rsidRDefault="00CF6EC5" w:rsidP="00CF6EC5">
            <w:pPr>
              <w:rPr>
                <w:sz w:val="16"/>
                <w:szCs w:val="16"/>
              </w:rPr>
            </w:pPr>
            <w:r w:rsidRPr="00752DFF">
              <w:rPr>
                <w:sz w:val="16"/>
                <w:szCs w:val="16"/>
              </w:rPr>
              <w:t>Prudential regulations</w:t>
            </w:r>
          </w:p>
        </w:tc>
        <w:tc>
          <w:tcPr>
            <w:tcW w:w="1234" w:type="dxa"/>
          </w:tcPr>
          <w:p w:rsidR="00CF6EC5" w:rsidRPr="00EB5AE0" w:rsidRDefault="00CF6EC5" w:rsidP="00CF6EC5">
            <w:pPr>
              <w:rPr>
                <w:sz w:val="16"/>
                <w:szCs w:val="16"/>
              </w:rPr>
            </w:pPr>
            <w:r>
              <w:rPr>
                <w:sz w:val="16"/>
                <w:szCs w:val="16"/>
              </w:rPr>
              <w:t>Yes</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r>
              <w:rPr>
                <w:sz w:val="16"/>
                <w:szCs w:val="16"/>
              </w:rPr>
              <w:t>Yes</w:t>
            </w:r>
          </w:p>
        </w:tc>
        <w:tc>
          <w:tcPr>
            <w:tcW w:w="1276" w:type="dxa"/>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r w:rsidR="00CF6EC5" w:rsidTr="003837C6">
        <w:tc>
          <w:tcPr>
            <w:tcW w:w="2129" w:type="dxa"/>
          </w:tcPr>
          <w:p w:rsidR="00CF6EC5" w:rsidRPr="00752DFF" w:rsidRDefault="00CF6EC5" w:rsidP="00CF6EC5">
            <w:pPr>
              <w:rPr>
                <w:sz w:val="16"/>
                <w:szCs w:val="16"/>
              </w:rPr>
            </w:pPr>
            <w:r w:rsidRPr="00752DFF">
              <w:rPr>
                <w:sz w:val="16"/>
                <w:szCs w:val="16"/>
              </w:rPr>
              <w:t>Mortgage Law</w:t>
            </w:r>
          </w:p>
        </w:tc>
        <w:tc>
          <w:tcPr>
            <w:tcW w:w="1234" w:type="dxa"/>
          </w:tcPr>
          <w:p w:rsidR="00CF6EC5" w:rsidRPr="00EB5AE0" w:rsidRDefault="00CF6EC5" w:rsidP="00CF6EC5">
            <w:pPr>
              <w:rPr>
                <w:sz w:val="16"/>
                <w:szCs w:val="16"/>
              </w:rPr>
            </w:pPr>
            <w:r>
              <w:rPr>
                <w:sz w:val="16"/>
                <w:szCs w:val="16"/>
              </w:rPr>
              <w:t>Yes</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r>
              <w:rPr>
                <w:sz w:val="16"/>
                <w:szCs w:val="16"/>
              </w:rPr>
              <w:t>Civil and Commercial Code covers mortgages in Thailand.</w:t>
            </w:r>
          </w:p>
        </w:tc>
        <w:tc>
          <w:tcPr>
            <w:tcW w:w="1276" w:type="dxa"/>
          </w:tcPr>
          <w:p w:rsidR="00CF6EC5" w:rsidRPr="00EB5AE0" w:rsidRDefault="00CF6EC5" w:rsidP="00CF6EC5">
            <w:pPr>
              <w:rPr>
                <w:sz w:val="16"/>
                <w:szCs w:val="16"/>
              </w:rPr>
            </w:pPr>
            <w:r>
              <w:rPr>
                <w:sz w:val="16"/>
                <w:szCs w:val="16"/>
              </w:rPr>
              <w:t>Yes</w:t>
            </w:r>
            <w:r>
              <w:rPr>
                <w:rStyle w:val="FootnoteReference"/>
                <w:sz w:val="16"/>
                <w:szCs w:val="16"/>
              </w:rPr>
              <w:footnoteReference w:id="20"/>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Yes</w:t>
            </w:r>
          </w:p>
        </w:tc>
        <w:tc>
          <w:tcPr>
            <w:tcW w:w="1276" w:type="dxa"/>
          </w:tcPr>
          <w:p w:rsidR="00CF6EC5" w:rsidRPr="00EB5AE0" w:rsidRDefault="00CF6EC5" w:rsidP="00CF6EC5">
            <w:pPr>
              <w:rPr>
                <w:sz w:val="16"/>
                <w:szCs w:val="16"/>
              </w:rPr>
            </w:pPr>
          </w:p>
        </w:tc>
      </w:tr>
      <w:tr w:rsidR="00CF6EC5" w:rsidTr="003837C6">
        <w:tc>
          <w:tcPr>
            <w:tcW w:w="2129" w:type="dxa"/>
          </w:tcPr>
          <w:p w:rsidR="00CF6EC5" w:rsidRPr="00752DFF" w:rsidRDefault="00CF6EC5" w:rsidP="00CF6EC5">
            <w:pPr>
              <w:rPr>
                <w:sz w:val="16"/>
                <w:szCs w:val="16"/>
              </w:rPr>
            </w:pPr>
            <w:r w:rsidRPr="00752DFF">
              <w:rPr>
                <w:sz w:val="16"/>
                <w:szCs w:val="16"/>
              </w:rPr>
              <w:t>Mortgage Guidelines</w:t>
            </w:r>
          </w:p>
        </w:tc>
        <w:tc>
          <w:tcPr>
            <w:tcW w:w="1234" w:type="dxa"/>
          </w:tcPr>
          <w:p w:rsidR="00CF6EC5" w:rsidRPr="00EB5AE0" w:rsidRDefault="00CF6EC5" w:rsidP="00CF6EC5">
            <w:pPr>
              <w:rPr>
                <w:sz w:val="16"/>
                <w:szCs w:val="16"/>
              </w:rPr>
            </w:pPr>
            <w:r>
              <w:rPr>
                <w:sz w:val="16"/>
                <w:szCs w:val="16"/>
              </w:rPr>
              <w:t>Yes</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r>
              <w:rPr>
                <w:sz w:val="16"/>
                <w:szCs w:val="16"/>
              </w:rPr>
              <w:t>NA</w:t>
            </w:r>
          </w:p>
        </w:tc>
        <w:tc>
          <w:tcPr>
            <w:tcW w:w="1276" w:type="dxa"/>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Yes</w:t>
            </w:r>
          </w:p>
        </w:tc>
        <w:tc>
          <w:tcPr>
            <w:tcW w:w="1276" w:type="dxa"/>
          </w:tcPr>
          <w:p w:rsidR="00CF6EC5" w:rsidRPr="00EB5AE0" w:rsidRDefault="00CF6EC5" w:rsidP="00CF6EC5">
            <w:pPr>
              <w:rPr>
                <w:sz w:val="16"/>
                <w:szCs w:val="16"/>
              </w:rPr>
            </w:pPr>
          </w:p>
        </w:tc>
      </w:tr>
      <w:tr w:rsidR="00CF6EC5" w:rsidTr="003837C6">
        <w:tc>
          <w:tcPr>
            <w:tcW w:w="2129" w:type="dxa"/>
          </w:tcPr>
          <w:p w:rsidR="00CF6EC5" w:rsidRPr="00752DFF" w:rsidRDefault="00CF6EC5" w:rsidP="00CF6EC5">
            <w:pPr>
              <w:rPr>
                <w:sz w:val="16"/>
                <w:szCs w:val="16"/>
              </w:rPr>
            </w:pPr>
          </w:p>
        </w:tc>
        <w:tc>
          <w:tcPr>
            <w:tcW w:w="1234" w:type="dxa"/>
          </w:tcPr>
          <w:p w:rsidR="00CF6EC5" w:rsidRPr="00EB5AE0" w:rsidRDefault="00CF6EC5" w:rsidP="00CF6EC5">
            <w:pPr>
              <w:rPr>
                <w:sz w:val="16"/>
                <w:szCs w:val="16"/>
              </w:rPr>
            </w:pP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r w:rsidR="00CF6EC5" w:rsidTr="003837C6">
        <w:tc>
          <w:tcPr>
            <w:tcW w:w="3363" w:type="dxa"/>
            <w:gridSpan w:val="2"/>
            <w:shd w:val="clear" w:color="auto" w:fill="95B3D7" w:themeFill="accent1" w:themeFillTint="99"/>
          </w:tcPr>
          <w:p w:rsidR="00CF6EC5" w:rsidRPr="00B9051A" w:rsidRDefault="00CF6EC5" w:rsidP="00CF6EC5">
            <w:pPr>
              <w:pStyle w:val="ListParagraph"/>
              <w:numPr>
                <w:ilvl w:val="0"/>
                <w:numId w:val="7"/>
              </w:numPr>
              <w:rPr>
                <w:b/>
                <w:sz w:val="16"/>
                <w:szCs w:val="16"/>
              </w:rPr>
            </w:pPr>
            <w:r w:rsidRPr="00B9051A">
              <w:rPr>
                <w:b/>
                <w:sz w:val="16"/>
                <w:szCs w:val="16"/>
              </w:rPr>
              <w:t>Fiscal Support and Subsidy Programs</w:t>
            </w:r>
          </w:p>
        </w:tc>
        <w:tc>
          <w:tcPr>
            <w:tcW w:w="1275" w:type="dxa"/>
            <w:shd w:val="clear" w:color="auto" w:fill="95B3D7" w:themeFill="accent1" w:themeFillTint="99"/>
          </w:tcPr>
          <w:p w:rsidR="00CF6EC5" w:rsidRPr="00EB5AE0" w:rsidRDefault="00CF6EC5" w:rsidP="00CF6EC5">
            <w:pPr>
              <w:rPr>
                <w:sz w:val="16"/>
                <w:szCs w:val="16"/>
              </w:rPr>
            </w:pPr>
          </w:p>
        </w:tc>
        <w:tc>
          <w:tcPr>
            <w:tcW w:w="1282" w:type="dxa"/>
            <w:gridSpan w:val="2"/>
            <w:shd w:val="clear" w:color="auto" w:fill="95B3D7" w:themeFill="accent1" w:themeFillTint="99"/>
          </w:tcPr>
          <w:p w:rsidR="00CF6EC5" w:rsidRPr="00436C2B" w:rsidRDefault="00CF6EC5" w:rsidP="00CF6EC5">
            <w:pPr>
              <w:rPr>
                <w:b/>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r>
      <w:tr w:rsidR="00CF6EC5" w:rsidRPr="00C47DAF" w:rsidTr="003837C6">
        <w:tc>
          <w:tcPr>
            <w:tcW w:w="2129" w:type="dxa"/>
          </w:tcPr>
          <w:p w:rsidR="00CF6EC5" w:rsidRPr="00CC1A49" w:rsidRDefault="00CF6EC5" w:rsidP="00CF6EC5">
            <w:pPr>
              <w:rPr>
                <w:sz w:val="16"/>
                <w:szCs w:val="16"/>
              </w:rPr>
            </w:pPr>
            <w:r w:rsidRPr="00CC1A49">
              <w:rPr>
                <w:sz w:val="16"/>
                <w:szCs w:val="16"/>
              </w:rPr>
              <w:t>Tax Incentive on Mortgage payments</w:t>
            </w:r>
          </w:p>
        </w:tc>
        <w:tc>
          <w:tcPr>
            <w:tcW w:w="1234" w:type="dxa"/>
          </w:tcPr>
          <w:p w:rsidR="00CF6EC5" w:rsidRPr="000558D1" w:rsidRDefault="00CF6EC5" w:rsidP="00CF6EC5">
            <w:pPr>
              <w:rPr>
                <w:sz w:val="18"/>
                <w:szCs w:val="16"/>
              </w:rPr>
            </w:pPr>
            <w:r>
              <w:rPr>
                <w:sz w:val="18"/>
                <w:szCs w:val="16"/>
              </w:rPr>
              <w:t>NA</w:t>
            </w:r>
          </w:p>
        </w:tc>
        <w:tc>
          <w:tcPr>
            <w:tcW w:w="1275" w:type="dxa"/>
          </w:tcPr>
          <w:p w:rsidR="00CF6EC5" w:rsidRPr="00EB5AE0" w:rsidRDefault="00CF6EC5" w:rsidP="00CF6EC5">
            <w:pPr>
              <w:rPr>
                <w:sz w:val="16"/>
                <w:szCs w:val="16"/>
              </w:rPr>
            </w:pPr>
            <w:r>
              <w:rPr>
                <w:sz w:val="16"/>
                <w:szCs w:val="16"/>
              </w:rPr>
              <w:t>NA</w:t>
            </w:r>
          </w:p>
        </w:tc>
        <w:tc>
          <w:tcPr>
            <w:tcW w:w="1282" w:type="dxa"/>
            <w:gridSpan w:val="2"/>
          </w:tcPr>
          <w:p w:rsidR="00CF6EC5" w:rsidRPr="00EB5AE0" w:rsidRDefault="00CF6EC5" w:rsidP="00CF6EC5">
            <w:pPr>
              <w:rPr>
                <w:sz w:val="16"/>
                <w:szCs w:val="16"/>
              </w:rPr>
            </w:pPr>
            <w:r>
              <w:rPr>
                <w:sz w:val="16"/>
                <w:szCs w:val="16"/>
              </w:rPr>
              <w:t>Tax exemption 5 to 8 years on low cost housing</w:t>
            </w:r>
            <w:r>
              <w:rPr>
                <w:rStyle w:val="FootnoteReference"/>
                <w:sz w:val="16"/>
                <w:szCs w:val="16"/>
              </w:rPr>
              <w:footnoteReference w:id="21"/>
            </w:r>
          </w:p>
        </w:tc>
        <w:tc>
          <w:tcPr>
            <w:tcW w:w="1276" w:type="dxa"/>
          </w:tcPr>
          <w:p w:rsidR="00CF6EC5" w:rsidRPr="00EB5AE0" w:rsidRDefault="00F36E91" w:rsidP="00CF6EC5">
            <w:pPr>
              <w:rPr>
                <w:sz w:val="16"/>
                <w:szCs w:val="16"/>
              </w:rPr>
            </w:pPr>
            <w:r>
              <w:rPr>
                <w:sz w:val="16"/>
                <w:szCs w:val="16"/>
              </w:rPr>
              <w:t>NA</w:t>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No</w:t>
            </w:r>
          </w:p>
        </w:tc>
        <w:tc>
          <w:tcPr>
            <w:tcW w:w="1276" w:type="dxa"/>
          </w:tcPr>
          <w:p w:rsidR="00CF6EC5" w:rsidRPr="00EB5AE0" w:rsidRDefault="00CF6EC5" w:rsidP="00CF6EC5">
            <w:pPr>
              <w:rPr>
                <w:sz w:val="16"/>
                <w:szCs w:val="16"/>
              </w:rPr>
            </w:pPr>
          </w:p>
        </w:tc>
      </w:tr>
      <w:tr w:rsidR="00CF6EC5" w:rsidRPr="00C47DAF" w:rsidTr="003837C6">
        <w:tc>
          <w:tcPr>
            <w:tcW w:w="2129" w:type="dxa"/>
          </w:tcPr>
          <w:p w:rsidR="00CF6EC5" w:rsidRPr="00CC1A49" w:rsidRDefault="00CF6EC5" w:rsidP="00CF6EC5">
            <w:pPr>
              <w:rPr>
                <w:sz w:val="16"/>
                <w:szCs w:val="16"/>
              </w:rPr>
            </w:pPr>
          </w:p>
        </w:tc>
        <w:tc>
          <w:tcPr>
            <w:tcW w:w="1234" w:type="dxa"/>
          </w:tcPr>
          <w:p w:rsidR="00CF6EC5" w:rsidRPr="00EB5AE0" w:rsidRDefault="00CF6EC5" w:rsidP="00CF6EC5">
            <w:pPr>
              <w:rPr>
                <w:sz w:val="16"/>
                <w:szCs w:val="16"/>
              </w:rPr>
            </w:pP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r w:rsidR="00CF6EC5" w:rsidTr="003837C6">
        <w:tc>
          <w:tcPr>
            <w:tcW w:w="3363" w:type="dxa"/>
            <w:gridSpan w:val="2"/>
            <w:shd w:val="clear" w:color="auto" w:fill="95B3D7" w:themeFill="accent1" w:themeFillTint="99"/>
          </w:tcPr>
          <w:p w:rsidR="00CF6EC5" w:rsidRPr="00B9051A" w:rsidRDefault="00CF6EC5" w:rsidP="00CF6EC5">
            <w:pPr>
              <w:pStyle w:val="ListParagraph"/>
              <w:numPr>
                <w:ilvl w:val="0"/>
                <w:numId w:val="7"/>
              </w:numPr>
              <w:rPr>
                <w:b/>
                <w:sz w:val="16"/>
                <w:szCs w:val="16"/>
              </w:rPr>
            </w:pPr>
            <w:r w:rsidRPr="00B9051A">
              <w:rPr>
                <w:b/>
                <w:sz w:val="16"/>
                <w:szCs w:val="16"/>
              </w:rPr>
              <w:t>Community Based Programs for LIH</w:t>
            </w:r>
          </w:p>
        </w:tc>
        <w:tc>
          <w:tcPr>
            <w:tcW w:w="1275" w:type="dxa"/>
            <w:shd w:val="clear" w:color="auto" w:fill="95B3D7" w:themeFill="accent1" w:themeFillTint="99"/>
          </w:tcPr>
          <w:p w:rsidR="00CF6EC5" w:rsidRPr="00EB5AE0" w:rsidRDefault="00CF6EC5" w:rsidP="00CF6EC5">
            <w:pPr>
              <w:rPr>
                <w:sz w:val="16"/>
                <w:szCs w:val="16"/>
              </w:rPr>
            </w:pPr>
          </w:p>
        </w:tc>
        <w:tc>
          <w:tcPr>
            <w:tcW w:w="1282" w:type="dxa"/>
            <w:gridSpan w:val="2"/>
            <w:shd w:val="clear" w:color="auto" w:fill="95B3D7" w:themeFill="accent1" w:themeFillTint="99"/>
          </w:tcPr>
          <w:p w:rsidR="00CF6EC5" w:rsidRPr="00436C2B" w:rsidRDefault="00CF6EC5" w:rsidP="00CF6EC5">
            <w:pPr>
              <w:rPr>
                <w:b/>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Default="00CF6EC5" w:rsidP="00CF6EC5"/>
        </w:tc>
        <w:tc>
          <w:tcPr>
            <w:tcW w:w="1276" w:type="dxa"/>
            <w:shd w:val="clear" w:color="auto" w:fill="95B3D7" w:themeFill="accent1" w:themeFillTint="99"/>
          </w:tcPr>
          <w:p w:rsidR="00CF6EC5" w:rsidRPr="00EB5AE0" w:rsidRDefault="00CF6EC5" w:rsidP="00CF6EC5">
            <w:pPr>
              <w:rPr>
                <w:sz w:val="16"/>
                <w:szCs w:val="16"/>
              </w:rPr>
            </w:pPr>
          </w:p>
        </w:tc>
      </w:tr>
      <w:tr w:rsidR="00CF6EC5" w:rsidTr="003837C6">
        <w:tc>
          <w:tcPr>
            <w:tcW w:w="2129" w:type="dxa"/>
          </w:tcPr>
          <w:p w:rsidR="00CF6EC5" w:rsidRPr="00CC1A49" w:rsidRDefault="00CF6EC5" w:rsidP="00CF6EC5">
            <w:pPr>
              <w:rPr>
                <w:sz w:val="16"/>
                <w:szCs w:val="16"/>
              </w:rPr>
            </w:pPr>
            <w:r w:rsidRPr="00CC1A49">
              <w:rPr>
                <w:sz w:val="16"/>
                <w:szCs w:val="16"/>
              </w:rPr>
              <w:t>State Level Program</w:t>
            </w:r>
          </w:p>
        </w:tc>
        <w:tc>
          <w:tcPr>
            <w:tcW w:w="1234" w:type="dxa"/>
          </w:tcPr>
          <w:p w:rsidR="00CF6EC5" w:rsidRPr="00EB5AE0" w:rsidRDefault="00CF6EC5" w:rsidP="00CF6EC5">
            <w:pPr>
              <w:rPr>
                <w:sz w:val="16"/>
                <w:szCs w:val="16"/>
              </w:rPr>
            </w:pPr>
            <w:r w:rsidRPr="000558D1">
              <w:rPr>
                <w:sz w:val="18"/>
              </w:rPr>
              <w:t>Indonesia extensively follows subsidy programs for economically weaker section of people, which has been discussed above.</w:t>
            </w:r>
          </w:p>
        </w:tc>
        <w:tc>
          <w:tcPr>
            <w:tcW w:w="1275" w:type="dxa"/>
          </w:tcPr>
          <w:p w:rsidR="00CF6EC5" w:rsidRPr="00EB5AE0" w:rsidRDefault="00CF6EC5" w:rsidP="00CF6EC5">
            <w:pPr>
              <w:rPr>
                <w:sz w:val="16"/>
                <w:szCs w:val="16"/>
              </w:rPr>
            </w:pPr>
            <w:r>
              <w:rPr>
                <w:sz w:val="16"/>
                <w:szCs w:val="16"/>
              </w:rPr>
              <w:t>NA</w:t>
            </w:r>
          </w:p>
        </w:tc>
        <w:tc>
          <w:tcPr>
            <w:tcW w:w="1282" w:type="dxa"/>
            <w:gridSpan w:val="2"/>
          </w:tcPr>
          <w:p w:rsidR="00CF6EC5" w:rsidRPr="001E7351" w:rsidRDefault="00CF6EC5" w:rsidP="00CF6EC5">
            <w:pPr>
              <w:rPr>
                <w:rFonts w:cstheme="minorHAnsi"/>
                <w:sz w:val="16"/>
                <w:szCs w:val="16"/>
              </w:rPr>
            </w:pPr>
            <w:r w:rsidRPr="001E7351">
              <w:rPr>
                <w:rFonts w:cstheme="minorHAnsi"/>
                <w:sz w:val="16"/>
                <w:szCs w:val="16"/>
              </w:rPr>
              <w:t>Housing Estate in the Bangkok Metropolis and its vicinity; Slum Improvement; Government Personnel Housing; Special and Community Service; and Flood Victim Assistance projects</w:t>
            </w:r>
            <w:r>
              <w:rPr>
                <w:rFonts w:cstheme="minorHAnsi"/>
                <w:sz w:val="16"/>
                <w:szCs w:val="16"/>
              </w:rPr>
              <w:t>,</w:t>
            </w:r>
            <w:r w:rsidRPr="001E7351">
              <w:rPr>
                <w:rFonts w:cstheme="minorHAnsi"/>
                <w:sz w:val="16"/>
                <w:szCs w:val="16"/>
              </w:rPr>
              <w:t xml:space="preserve"> </w:t>
            </w:r>
            <w:r w:rsidRPr="001E7351">
              <w:rPr>
                <w:rFonts w:cstheme="minorHAnsi"/>
                <w:bCs/>
                <w:sz w:val="16"/>
                <w:szCs w:val="16"/>
              </w:rPr>
              <w:t xml:space="preserve">Baan </w:t>
            </w:r>
            <w:proofErr w:type="spellStart"/>
            <w:r w:rsidRPr="001E7351">
              <w:rPr>
                <w:rFonts w:cstheme="minorHAnsi"/>
                <w:bCs/>
                <w:sz w:val="16"/>
                <w:szCs w:val="16"/>
              </w:rPr>
              <w:t>Eua-Arthorn</w:t>
            </w:r>
            <w:proofErr w:type="spellEnd"/>
            <w:r w:rsidRPr="001E7351">
              <w:rPr>
                <w:rFonts w:cstheme="minorHAnsi"/>
                <w:bCs/>
                <w:sz w:val="16"/>
                <w:szCs w:val="16"/>
              </w:rPr>
              <w:t xml:space="preserve">, </w:t>
            </w:r>
            <w:proofErr w:type="spellStart"/>
            <w:r>
              <w:rPr>
                <w:rFonts w:cstheme="minorHAnsi"/>
                <w:bCs/>
                <w:sz w:val="16"/>
                <w:szCs w:val="16"/>
              </w:rPr>
              <w:t>etc</w:t>
            </w:r>
            <w:proofErr w:type="spellEnd"/>
            <w:r>
              <w:rPr>
                <w:rFonts w:cstheme="minorHAnsi"/>
                <w:bCs/>
                <w:sz w:val="16"/>
                <w:szCs w:val="16"/>
              </w:rPr>
              <w:t xml:space="preserve"> by NHA</w:t>
            </w:r>
          </w:p>
        </w:tc>
        <w:tc>
          <w:tcPr>
            <w:tcW w:w="1276" w:type="dxa"/>
          </w:tcPr>
          <w:p w:rsidR="00CF6EC5" w:rsidRPr="00EB5AE0" w:rsidRDefault="00CF6EC5" w:rsidP="00CF6EC5">
            <w:pPr>
              <w:rPr>
                <w:sz w:val="16"/>
                <w:szCs w:val="16"/>
              </w:rPr>
            </w:pPr>
            <w:r>
              <w:rPr>
                <w:sz w:val="16"/>
                <w:szCs w:val="16"/>
              </w:rPr>
              <w:t xml:space="preserve">National Shelter </w:t>
            </w:r>
            <w:proofErr w:type="spellStart"/>
            <w:r>
              <w:rPr>
                <w:sz w:val="16"/>
                <w:szCs w:val="16"/>
              </w:rPr>
              <w:t>Programme</w:t>
            </w:r>
            <w:proofErr w:type="spellEnd"/>
            <w:r>
              <w:rPr>
                <w:sz w:val="16"/>
                <w:szCs w:val="16"/>
              </w:rPr>
              <w:t xml:space="preserve"> of Government of Philippines.</w:t>
            </w:r>
            <w:r>
              <w:rPr>
                <w:rStyle w:val="FootnoteReference"/>
                <w:sz w:val="16"/>
                <w:szCs w:val="16"/>
              </w:rPr>
              <w:footnoteReference w:id="22"/>
            </w:r>
          </w:p>
        </w:tc>
        <w:tc>
          <w:tcPr>
            <w:tcW w:w="1276" w:type="dxa"/>
          </w:tcPr>
          <w:p w:rsidR="00CF6EC5" w:rsidRPr="00EB5AE0" w:rsidRDefault="00CF6EC5" w:rsidP="00CF6EC5">
            <w:pPr>
              <w:rPr>
                <w:sz w:val="16"/>
                <w:szCs w:val="16"/>
              </w:rPr>
            </w:pPr>
            <w:r>
              <w:rPr>
                <w:sz w:val="16"/>
                <w:szCs w:val="16"/>
              </w:rPr>
              <w:t>Community Development Fund</w:t>
            </w:r>
          </w:p>
        </w:tc>
        <w:tc>
          <w:tcPr>
            <w:tcW w:w="1276" w:type="dxa"/>
          </w:tcPr>
          <w:p w:rsidR="00CF6EC5" w:rsidRPr="00EB5AE0" w:rsidRDefault="00CF6EC5" w:rsidP="00CF6EC5">
            <w:pPr>
              <w:rPr>
                <w:sz w:val="16"/>
                <w:szCs w:val="16"/>
              </w:rPr>
            </w:pPr>
            <w:r w:rsidRPr="00303F6D">
              <w:rPr>
                <w:rStyle w:val="newsfrancedetailcontent"/>
                <w:rFonts w:cstheme="minorHAnsi"/>
                <w:sz w:val="16"/>
                <w:szCs w:val="16"/>
              </w:rPr>
              <w:t>At present some 2,500 housing projects are being built across the country, mainly in Hanoi (800 projects) and Ho Chi Minh City (nearly</w:t>
            </w:r>
            <w:r w:rsidRPr="00303F6D">
              <w:rPr>
                <w:rFonts w:cstheme="minorHAnsi"/>
              </w:rPr>
              <w:t xml:space="preserve"> </w:t>
            </w:r>
            <w:r w:rsidRPr="00303F6D">
              <w:rPr>
                <w:rStyle w:val="newsfrancedetailcontent"/>
                <w:rFonts w:cstheme="minorHAnsi"/>
                <w:sz w:val="16"/>
                <w:szCs w:val="16"/>
              </w:rPr>
              <w:t>1,400 projects)</w:t>
            </w:r>
            <w:r>
              <w:rPr>
                <w:rStyle w:val="FootnoteReference"/>
                <w:rFonts w:cstheme="minorHAnsi"/>
                <w:sz w:val="16"/>
                <w:szCs w:val="16"/>
              </w:rPr>
              <w:footnoteReference w:id="23"/>
            </w:r>
            <w:r>
              <w:rPr>
                <w:rStyle w:val="newsfrancedetailcontent"/>
                <w:rFonts w:cstheme="minorHAnsi"/>
                <w:sz w:val="16"/>
                <w:szCs w:val="16"/>
              </w:rPr>
              <w:t>.</w:t>
            </w:r>
            <w:r w:rsidRPr="00303F6D">
              <w:rPr>
                <w:rStyle w:val="newsfrancedetailcontent"/>
                <w:rFonts w:cstheme="minorHAnsi"/>
                <w:sz w:val="16"/>
                <w:szCs w:val="16"/>
              </w:rPr>
              <w:t xml:space="preserve"> </w:t>
            </w:r>
            <w:r w:rsidRPr="00303F6D">
              <w:rPr>
                <w:rFonts w:cstheme="minorHAnsi"/>
                <w:sz w:val="16"/>
                <w:szCs w:val="16"/>
              </w:rPr>
              <w:t xml:space="preserve">Housing Assistance </w:t>
            </w:r>
            <w:proofErr w:type="spellStart"/>
            <w:r w:rsidRPr="00303F6D">
              <w:rPr>
                <w:rFonts w:cstheme="minorHAnsi"/>
                <w:sz w:val="16"/>
                <w:szCs w:val="16"/>
              </w:rPr>
              <w:t>Programme</w:t>
            </w:r>
            <w:proofErr w:type="spellEnd"/>
            <w:r w:rsidRPr="00303F6D">
              <w:rPr>
                <w:rFonts w:cstheme="minorHAnsi"/>
                <w:sz w:val="16"/>
                <w:szCs w:val="16"/>
              </w:rPr>
              <w:t xml:space="preserve"> for providing </w:t>
            </w:r>
            <w:r w:rsidRPr="00303F6D">
              <w:rPr>
                <w:rFonts w:cstheme="minorHAnsi"/>
                <w:sz w:val="16"/>
                <w:szCs w:val="16"/>
              </w:rPr>
              <w:lastRenderedPageBreak/>
              <w:t>500,000 houses.</w:t>
            </w:r>
            <w:r w:rsidRPr="00303F6D">
              <w:rPr>
                <w:rStyle w:val="FootnoteReference"/>
                <w:rFonts w:cstheme="minorHAnsi"/>
                <w:sz w:val="16"/>
                <w:szCs w:val="16"/>
              </w:rPr>
              <w:footnoteReference w:id="24"/>
            </w:r>
          </w:p>
        </w:tc>
        <w:tc>
          <w:tcPr>
            <w:tcW w:w="1276" w:type="dxa"/>
          </w:tcPr>
          <w:p w:rsidR="00CF6EC5" w:rsidRPr="00EB5AE0" w:rsidRDefault="00CF6EC5" w:rsidP="00CF6EC5">
            <w:pPr>
              <w:rPr>
                <w:sz w:val="16"/>
                <w:szCs w:val="16"/>
              </w:rPr>
            </w:pPr>
          </w:p>
        </w:tc>
      </w:tr>
      <w:tr w:rsidR="00CF6EC5" w:rsidTr="003837C6">
        <w:tc>
          <w:tcPr>
            <w:tcW w:w="2129" w:type="dxa"/>
          </w:tcPr>
          <w:p w:rsidR="00CF6EC5" w:rsidRPr="00CC1A49" w:rsidRDefault="00CF6EC5" w:rsidP="00CF6EC5">
            <w:pPr>
              <w:rPr>
                <w:sz w:val="16"/>
                <w:szCs w:val="16"/>
              </w:rPr>
            </w:pPr>
            <w:r w:rsidRPr="00CC1A49">
              <w:rPr>
                <w:sz w:val="16"/>
                <w:szCs w:val="16"/>
              </w:rPr>
              <w:lastRenderedPageBreak/>
              <w:t>NGO Initiatives</w:t>
            </w:r>
          </w:p>
        </w:tc>
        <w:tc>
          <w:tcPr>
            <w:tcW w:w="1234" w:type="dxa"/>
          </w:tcPr>
          <w:p w:rsidR="00CF6EC5" w:rsidRPr="00EB5AE0" w:rsidRDefault="00CF6EC5" w:rsidP="00CF6EC5">
            <w:pPr>
              <w:rPr>
                <w:sz w:val="16"/>
                <w:szCs w:val="16"/>
              </w:rPr>
            </w:pPr>
            <w:r>
              <w:rPr>
                <w:sz w:val="16"/>
                <w:szCs w:val="16"/>
              </w:rPr>
              <w:t>NA</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r>
              <w:rPr>
                <w:sz w:val="16"/>
                <w:szCs w:val="16"/>
              </w:rPr>
              <w:t>Thailand has a vibrant civil society with active NGOs.</w:t>
            </w:r>
            <w:r>
              <w:rPr>
                <w:rStyle w:val="FootnoteReference"/>
                <w:sz w:val="16"/>
                <w:szCs w:val="16"/>
              </w:rPr>
              <w:footnoteReference w:id="25"/>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r w:rsidR="00CF6EC5" w:rsidTr="003837C6">
        <w:tc>
          <w:tcPr>
            <w:tcW w:w="2129" w:type="dxa"/>
          </w:tcPr>
          <w:p w:rsidR="00CF6EC5" w:rsidRDefault="00CF6EC5" w:rsidP="00CF6EC5">
            <w:pPr>
              <w:pStyle w:val="ListParagraph"/>
              <w:rPr>
                <w:sz w:val="16"/>
                <w:szCs w:val="16"/>
              </w:rPr>
            </w:pPr>
          </w:p>
        </w:tc>
        <w:tc>
          <w:tcPr>
            <w:tcW w:w="1234" w:type="dxa"/>
          </w:tcPr>
          <w:p w:rsidR="00CF6EC5" w:rsidRPr="00EB5AE0" w:rsidRDefault="00CF6EC5" w:rsidP="00CF6EC5">
            <w:pPr>
              <w:rPr>
                <w:sz w:val="16"/>
                <w:szCs w:val="16"/>
              </w:rPr>
            </w:pP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r w:rsidR="00CF6EC5" w:rsidTr="003837C6">
        <w:tc>
          <w:tcPr>
            <w:tcW w:w="3363" w:type="dxa"/>
            <w:gridSpan w:val="2"/>
            <w:shd w:val="clear" w:color="auto" w:fill="8DB3E2" w:themeFill="text2" w:themeFillTint="66"/>
          </w:tcPr>
          <w:p w:rsidR="00CF6EC5" w:rsidRPr="00B9051A" w:rsidRDefault="00CF6EC5" w:rsidP="00CF6EC5">
            <w:pPr>
              <w:pStyle w:val="ListParagraph"/>
              <w:numPr>
                <w:ilvl w:val="0"/>
                <w:numId w:val="7"/>
              </w:numPr>
              <w:rPr>
                <w:b/>
                <w:sz w:val="16"/>
                <w:szCs w:val="16"/>
              </w:rPr>
            </w:pPr>
            <w:r>
              <w:rPr>
                <w:b/>
                <w:sz w:val="16"/>
                <w:szCs w:val="16"/>
              </w:rPr>
              <w:t>Mortgage Information</w:t>
            </w:r>
            <w:r>
              <w:rPr>
                <w:rStyle w:val="FootnoteReference"/>
                <w:b/>
                <w:sz w:val="16"/>
                <w:szCs w:val="16"/>
              </w:rPr>
              <w:footnoteReference w:id="26"/>
            </w:r>
          </w:p>
        </w:tc>
        <w:tc>
          <w:tcPr>
            <w:tcW w:w="1275" w:type="dxa"/>
            <w:shd w:val="clear" w:color="auto" w:fill="95B3D7" w:themeFill="accent1" w:themeFillTint="99"/>
          </w:tcPr>
          <w:p w:rsidR="00CF6EC5" w:rsidRPr="00EB5AE0" w:rsidRDefault="00CF6EC5" w:rsidP="00CF6EC5">
            <w:pPr>
              <w:rPr>
                <w:sz w:val="16"/>
                <w:szCs w:val="16"/>
              </w:rPr>
            </w:pPr>
          </w:p>
        </w:tc>
        <w:tc>
          <w:tcPr>
            <w:tcW w:w="1282" w:type="dxa"/>
            <w:gridSpan w:val="2"/>
            <w:shd w:val="clear" w:color="auto" w:fill="95B3D7" w:themeFill="accent1" w:themeFillTint="99"/>
          </w:tcPr>
          <w:p w:rsidR="00CF6EC5" w:rsidRPr="00436C2B" w:rsidRDefault="00CF6EC5" w:rsidP="00CF6EC5">
            <w:pPr>
              <w:rPr>
                <w:b/>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r>
      <w:tr w:rsidR="00CF6EC5" w:rsidRPr="003470DF" w:rsidTr="003837C6">
        <w:trPr>
          <w:trHeight w:val="206"/>
        </w:trPr>
        <w:tc>
          <w:tcPr>
            <w:tcW w:w="2129" w:type="dxa"/>
          </w:tcPr>
          <w:p w:rsidR="00CF6EC5" w:rsidRPr="00315A4C" w:rsidRDefault="00CF6EC5" w:rsidP="00CF6EC5">
            <w:pPr>
              <w:pStyle w:val="ListParagraph"/>
              <w:ind w:left="0"/>
              <w:rPr>
                <w:sz w:val="16"/>
                <w:szCs w:val="16"/>
              </w:rPr>
            </w:pPr>
            <w:r>
              <w:rPr>
                <w:sz w:val="16"/>
                <w:szCs w:val="16"/>
              </w:rPr>
              <w:t>Mortgage/GDP ratio</w:t>
            </w:r>
          </w:p>
        </w:tc>
        <w:tc>
          <w:tcPr>
            <w:tcW w:w="1234" w:type="dxa"/>
          </w:tcPr>
          <w:p w:rsidR="00CF6EC5" w:rsidRPr="00EB5AE0" w:rsidRDefault="00CF6EC5" w:rsidP="00CF6EC5">
            <w:pPr>
              <w:rPr>
                <w:sz w:val="16"/>
                <w:szCs w:val="16"/>
              </w:rPr>
            </w:pPr>
            <w:r>
              <w:rPr>
                <w:sz w:val="16"/>
                <w:szCs w:val="16"/>
              </w:rPr>
              <w:t>1.83%</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r>
              <w:rPr>
                <w:sz w:val="16"/>
                <w:szCs w:val="16"/>
              </w:rPr>
              <w:t xml:space="preserve">17% </w:t>
            </w:r>
            <w:r>
              <w:rPr>
                <w:rStyle w:val="FootnoteReference"/>
                <w:sz w:val="16"/>
                <w:szCs w:val="16"/>
              </w:rPr>
              <w:footnoteReference w:id="27"/>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8%</w:t>
            </w: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p>
        </w:tc>
      </w:tr>
      <w:tr w:rsidR="00CF6EC5" w:rsidRPr="003470DF" w:rsidTr="003837C6">
        <w:tc>
          <w:tcPr>
            <w:tcW w:w="2129" w:type="dxa"/>
          </w:tcPr>
          <w:p w:rsidR="00CF6EC5" w:rsidRPr="00315A4C" w:rsidRDefault="00CF6EC5" w:rsidP="00CF6EC5">
            <w:pPr>
              <w:pStyle w:val="ListParagraph"/>
              <w:ind w:left="0"/>
              <w:rPr>
                <w:sz w:val="16"/>
                <w:szCs w:val="16"/>
              </w:rPr>
            </w:pPr>
            <w:r>
              <w:rPr>
                <w:sz w:val="16"/>
                <w:szCs w:val="16"/>
              </w:rPr>
              <w:t>Mortgage/Total bank credit ratio</w:t>
            </w:r>
          </w:p>
        </w:tc>
        <w:tc>
          <w:tcPr>
            <w:tcW w:w="1234" w:type="dxa"/>
          </w:tcPr>
          <w:p w:rsidR="00CF6EC5" w:rsidRPr="00EB5AE0" w:rsidRDefault="00CF6EC5" w:rsidP="00CF6EC5">
            <w:pPr>
              <w:rPr>
                <w:sz w:val="16"/>
                <w:szCs w:val="16"/>
              </w:rPr>
            </w:pPr>
            <w:r>
              <w:rPr>
                <w:sz w:val="16"/>
                <w:szCs w:val="16"/>
              </w:rPr>
              <w:t>7.8%</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r>
              <w:rPr>
                <w:sz w:val="16"/>
                <w:szCs w:val="16"/>
              </w:rPr>
              <w:t>25%</w:t>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p>
        </w:tc>
      </w:tr>
      <w:tr w:rsidR="00CF6EC5" w:rsidRPr="003470DF" w:rsidTr="003837C6">
        <w:tc>
          <w:tcPr>
            <w:tcW w:w="2129" w:type="dxa"/>
          </w:tcPr>
          <w:p w:rsidR="00CF6EC5" w:rsidRPr="00315A4C" w:rsidRDefault="00CF6EC5" w:rsidP="00CF6EC5">
            <w:pPr>
              <w:pStyle w:val="ListParagraph"/>
              <w:ind w:left="0"/>
              <w:rPr>
                <w:sz w:val="16"/>
                <w:szCs w:val="16"/>
              </w:rPr>
            </w:pPr>
            <w:r>
              <w:rPr>
                <w:sz w:val="16"/>
                <w:szCs w:val="16"/>
              </w:rPr>
              <w:t>Mortgage term (tenor)</w:t>
            </w:r>
          </w:p>
        </w:tc>
        <w:tc>
          <w:tcPr>
            <w:tcW w:w="1234" w:type="dxa"/>
          </w:tcPr>
          <w:p w:rsidR="00CF6EC5" w:rsidRPr="00EB5AE0" w:rsidRDefault="00CF6EC5" w:rsidP="00CF6EC5">
            <w:pPr>
              <w:rPr>
                <w:sz w:val="16"/>
                <w:szCs w:val="16"/>
              </w:rPr>
            </w:pPr>
            <w:r>
              <w:rPr>
                <w:sz w:val="16"/>
                <w:szCs w:val="16"/>
              </w:rPr>
              <w:t>8 – 15 years</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r>
              <w:rPr>
                <w:sz w:val="16"/>
                <w:szCs w:val="16"/>
              </w:rPr>
              <w:t>Up to 20 years</w:t>
            </w:r>
          </w:p>
        </w:tc>
        <w:tc>
          <w:tcPr>
            <w:tcW w:w="1276" w:type="dxa"/>
          </w:tcPr>
          <w:p w:rsidR="00CF6EC5" w:rsidRPr="00EB5AE0" w:rsidRDefault="00CF6EC5" w:rsidP="00CF6EC5">
            <w:pPr>
              <w:rPr>
                <w:sz w:val="16"/>
                <w:szCs w:val="16"/>
              </w:rPr>
            </w:pPr>
            <w:r>
              <w:rPr>
                <w:sz w:val="16"/>
                <w:szCs w:val="16"/>
              </w:rPr>
              <w:t>30 years</w:t>
            </w:r>
            <w:r>
              <w:rPr>
                <w:rStyle w:val="FootnoteReference"/>
                <w:sz w:val="16"/>
                <w:szCs w:val="16"/>
              </w:rPr>
              <w:footnoteReference w:id="28"/>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NA</w:t>
            </w:r>
          </w:p>
        </w:tc>
        <w:tc>
          <w:tcPr>
            <w:tcW w:w="1276" w:type="dxa"/>
          </w:tcPr>
          <w:p w:rsidR="00CF6EC5" w:rsidRPr="00EB5AE0" w:rsidRDefault="00CF6EC5" w:rsidP="00CF6EC5">
            <w:pPr>
              <w:rPr>
                <w:sz w:val="16"/>
                <w:szCs w:val="16"/>
              </w:rPr>
            </w:pPr>
          </w:p>
        </w:tc>
      </w:tr>
      <w:tr w:rsidR="00CF6EC5" w:rsidRPr="003470DF" w:rsidTr="003837C6">
        <w:tc>
          <w:tcPr>
            <w:tcW w:w="2129" w:type="dxa"/>
          </w:tcPr>
          <w:p w:rsidR="00CF6EC5" w:rsidRPr="00315A4C" w:rsidRDefault="00CF6EC5" w:rsidP="00CF6EC5">
            <w:pPr>
              <w:pStyle w:val="ListParagraph"/>
              <w:ind w:left="0"/>
              <w:rPr>
                <w:sz w:val="16"/>
                <w:szCs w:val="16"/>
              </w:rPr>
            </w:pPr>
            <w:r>
              <w:rPr>
                <w:sz w:val="16"/>
                <w:szCs w:val="16"/>
              </w:rPr>
              <w:t>Mortgage interest rate</w:t>
            </w:r>
          </w:p>
        </w:tc>
        <w:tc>
          <w:tcPr>
            <w:tcW w:w="1234" w:type="dxa"/>
          </w:tcPr>
          <w:p w:rsidR="00CF6EC5" w:rsidRPr="00EB5AE0" w:rsidRDefault="00CF6EC5" w:rsidP="00CF6EC5">
            <w:pPr>
              <w:rPr>
                <w:sz w:val="16"/>
                <w:szCs w:val="16"/>
              </w:rPr>
            </w:pPr>
            <w:r>
              <w:rPr>
                <w:sz w:val="16"/>
                <w:szCs w:val="16"/>
              </w:rPr>
              <w:t>16 – 18%</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r>
              <w:rPr>
                <w:sz w:val="16"/>
                <w:szCs w:val="16"/>
              </w:rPr>
              <w:t>19%</w:t>
            </w:r>
          </w:p>
        </w:tc>
        <w:tc>
          <w:tcPr>
            <w:tcW w:w="1276" w:type="dxa"/>
          </w:tcPr>
          <w:p w:rsidR="00CF6EC5" w:rsidRPr="00EB5AE0" w:rsidRDefault="00CF6EC5" w:rsidP="00CF6EC5">
            <w:pPr>
              <w:rPr>
                <w:sz w:val="16"/>
                <w:szCs w:val="16"/>
              </w:rPr>
            </w:pPr>
            <w:r>
              <w:rPr>
                <w:sz w:val="16"/>
                <w:szCs w:val="16"/>
              </w:rPr>
              <w:t>9%</w:t>
            </w:r>
            <w:r>
              <w:rPr>
                <w:rStyle w:val="FootnoteReference"/>
                <w:sz w:val="16"/>
                <w:szCs w:val="16"/>
              </w:rPr>
              <w:footnoteReference w:id="29"/>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13.1%</w:t>
            </w:r>
          </w:p>
        </w:tc>
        <w:tc>
          <w:tcPr>
            <w:tcW w:w="1276" w:type="dxa"/>
          </w:tcPr>
          <w:p w:rsidR="00CF6EC5" w:rsidRPr="00EB5AE0" w:rsidRDefault="00CF6EC5" w:rsidP="00CF6EC5">
            <w:pPr>
              <w:rPr>
                <w:sz w:val="16"/>
                <w:szCs w:val="16"/>
              </w:rPr>
            </w:pPr>
          </w:p>
        </w:tc>
      </w:tr>
      <w:tr w:rsidR="00CF6EC5" w:rsidRPr="003470DF" w:rsidTr="003837C6">
        <w:tc>
          <w:tcPr>
            <w:tcW w:w="2129" w:type="dxa"/>
          </w:tcPr>
          <w:p w:rsidR="00CF6EC5" w:rsidRPr="00315A4C" w:rsidRDefault="00CF6EC5" w:rsidP="00CF6EC5">
            <w:pPr>
              <w:pStyle w:val="ListParagraph"/>
              <w:ind w:left="0"/>
              <w:rPr>
                <w:sz w:val="16"/>
                <w:szCs w:val="16"/>
              </w:rPr>
            </w:pPr>
            <w:r>
              <w:rPr>
                <w:sz w:val="16"/>
                <w:szCs w:val="16"/>
              </w:rPr>
              <w:t>LTV ratio</w:t>
            </w:r>
          </w:p>
        </w:tc>
        <w:tc>
          <w:tcPr>
            <w:tcW w:w="1234" w:type="dxa"/>
          </w:tcPr>
          <w:p w:rsidR="00CF6EC5" w:rsidRPr="00EB5AE0" w:rsidRDefault="00CF6EC5" w:rsidP="00CF6EC5">
            <w:pPr>
              <w:rPr>
                <w:sz w:val="16"/>
                <w:szCs w:val="16"/>
              </w:rPr>
            </w:pPr>
            <w:r>
              <w:rPr>
                <w:sz w:val="16"/>
                <w:szCs w:val="16"/>
              </w:rPr>
              <w:t>75 – 80%</w:t>
            </w:r>
          </w:p>
        </w:tc>
        <w:tc>
          <w:tcPr>
            <w:tcW w:w="1275" w:type="dxa"/>
          </w:tcPr>
          <w:p w:rsidR="00CF6EC5" w:rsidRPr="00EB5AE0" w:rsidRDefault="00CF6EC5" w:rsidP="00CF6EC5">
            <w:pPr>
              <w:rPr>
                <w:sz w:val="16"/>
                <w:szCs w:val="16"/>
              </w:rPr>
            </w:pPr>
          </w:p>
        </w:tc>
        <w:tc>
          <w:tcPr>
            <w:tcW w:w="1282" w:type="dxa"/>
            <w:gridSpan w:val="2"/>
          </w:tcPr>
          <w:p w:rsidR="00CF6EC5" w:rsidRPr="00EB5AE0" w:rsidRDefault="00CF6EC5" w:rsidP="00CF6EC5">
            <w:pPr>
              <w:rPr>
                <w:sz w:val="16"/>
                <w:szCs w:val="16"/>
              </w:rPr>
            </w:pPr>
            <w:r>
              <w:rPr>
                <w:sz w:val="16"/>
                <w:szCs w:val="16"/>
              </w:rPr>
              <w:t>80-90%</w:t>
            </w: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Pr>
                <w:sz w:val="16"/>
                <w:szCs w:val="16"/>
              </w:rPr>
              <w:t>70%</w:t>
            </w:r>
          </w:p>
        </w:tc>
        <w:tc>
          <w:tcPr>
            <w:tcW w:w="1276" w:type="dxa"/>
          </w:tcPr>
          <w:p w:rsidR="00CF6EC5" w:rsidRPr="00EB5AE0" w:rsidRDefault="00CF6EC5" w:rsidP="00CF6EC5">
            <w:pPr>
              <w:rPr>
                <w:sz w:val="16"/>
                <w:szCs w:val="16"/>
              </w:rPr>
            </w:pPr>
            <w:r>
              <w:rPr>
                <w:sz w:val="16"/>
                <w:szCs w:val="16"/>
              </w:rPr>
              <w:t>50%</w:t>
            </w:r>
          </w:p>
        </w:tc>
        <w:tc>
          <w:tcPr>
            <w:tcW w:w="1276" w:type="dxa"/>
          </w:tcPr>
          <w:p w:rsidR="00CF6EC5" w:rsidRPr="00EB5AE0" w:rsidRDefault="00CF6EC5" w:rsidP="00CF6EC5">
            <w:pPr>
              <w:rPr>
                <w:sz w:val="16"/>
                <w:szCs w:val="16"/>
              </w:rPr>
            </w:pPr>
          </w:p>
        </w:tc>
      </w:tr>
      <w:tr w:rsidR="00CF6EC5" w:rsidRPr="003470DF" w:rsidTr="003837C6">
        <w:tc>
          <w:tcPr>
            <w:tcW w:w="3363" w:type="dxa"/>
            <w:gridSpan w:val="2"/>
            <w:shd w:val="clear" w:color="auto" w:fill="8DB3E2" w:themeFill="text2" w:themeFillTint="66"/>
          </w:tcPr>
          <w:p w:rsidR="00CF6EC5" w:rsidRPr="00584652" w:rsidRDefault="00CF6EC5" w:rsidP="00CF6EC5">
            <w:pPr>
              <w:pStyle w:val="ListParagraph"/>
              <w:numPr>
                <w:ilvl w:val="0"/>
                <w:numId w:val="7"/>
              </w:numPr>
              <w:rPr>
                <w:b/>
                <w:sz w:val="16"/>
                <w:szCs w:val="16"/>
              </w:rPr>
            </w:pPr>
            <w:r w:rsidRPr="00584652">
              <w:rPr>
                <w:b/>
                <w:sz w:val="16"/>
                <w:szCs w:val="16"/>
              </w:rPr>
              <w:t xml:space="preserve">Miscellaneous </w:t>
            </w:r>
          </w:p>
        </w:tc>
        <w:tc>
          <w:tcPr>
            <w:tcW w:w="1275" w:type="dxa"/>
            <w:shd w:val="clear" w:color="auto" w:fill="95B3D7" w:themeFill="accent1" w:themeFillTint="99"/>
          </w:tcPr>
          <w:p w:rsidR="00CF6EC5" w:rsidRPr="00EB5AE0" w:rsidRDefault="00CF6EC5" w:rsidP="00CF6EC5">
            <w:pPr>
              <w:rPr>
                <w:sz w:val="16"/>
                <w:szCs w:val="16"/>
              </w:rPr>
            </w:pPr>
          </w:p>
        </w:tc>
        <w:tc>
          <w:tcPr>
            <w:tcW w:w="1282" w:type="dxa"/>
            <w:gridSpan w:val="2"/>
            <w:shd w:val="clear" w:color="auto" w:fill="95B3D7" w:themeFill="accent1" w:themeFillTint="99"/>
          </w:tcPr>
          <w:p w:rsidR="00CF6EC5" w:rsidRPr="003470DF" w:rsidRDefault="00CF6EC5" w:rsidP="00CF6EC5"/>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c>
          <w:tcPr>
            <w:tcW w:w="1276" w:type="dxa"/>
            <w:shd w:val="clear" w:color="auto" w:fill="95B3D7" w:themeFill="accent1" w:themeFillTint="99"/>
          </w:tcPr>
          <w:p w:rsidR="00CF6EC5" w:rsidRPr="00EB5AE0" w:rsidRDefault="00CF6EC5" w:rsidP="00CF6EC5">
            <w:pPr>
              <w:rPr>
                <w:sz w:val="16"/>
                <w:szCs w:val="16"/>
              </w:rPr>
            </w:pPr>
          </w:p>
        </w:tc>
      </w:tr>
      <w:tr w:rsidR="00CF6EC5" w:rsidRPr="003470DF" w:rsidTr="003837C6">
        <w:tc>
          <w:tcPr>
            <w:tcW w:w="2129" w:type="dxa"/>
          </w:tcPr>
          <w:p w:rsidR="00CF6EC5" w:rsidRPr="00315A4C" w:rsidRDefault="00CF6EC5" w:rsidP="00CF6EC5">
            <w:pPr>
              <w:pStyle w:val="ListParagraph"/>
              <w:ind w:left="0"/>
              <w:rPr>
                <w:sz w:val="16"/>
                <w:szCs w:val="16"/>
              </w:rPr>
            </w:pPr>
            <w:r w:rsidRPr="00315A4C">
              <w:rPr>
                <w:sz w:val="16"/>
                <w:szCs w:val="16"/>
              </w:rPr>
              <w:t>Consumer credit information system?</w:t>
            </w:r>
          </w:p>
        </w:tc>
        <w:tc>
          <w:tcPr>
            <w:tcW w:w="1234" w:type="dxa"/>
          </w:tcPr>
          <w:p w:rsidR="00CF6EC5" w:rsidRPr="00EB5AE0" w:rsidRDefault="00CF6EC5" w:rsidP="00CF6EC5">
            <w:pPr>
              <w:rPr>
                <w:sz w:val="16"/>
                <w:szCs w:val="16"/>
              </w:rPr>
            </w:pPr>
            <w:r>
              <w:rPr>
                <w:sz w:val="16"/>
                <w:szCs w:val="16"/>
              </w:rPr>
              <w:t>No</w:t>
            </w:r>
          </w:p>
        </w:tc>
        <w:tc>
          <w:tcPr>
            <w:tcW w:w="1275" w:type="dxa"/>
          </w:tcPr>
          <w:p w:rsidR="00CF6EC5" w:rsidRPr="00EB5AE0" w:rsidRDefault="00CF6EC5" w:rsidP="00CF6EC5">
            <w:pPr>
              <w:rPr>
                <w:sz w:val="16"/>
                <w:szCs w:val="16"/>
              </w:rPr>
            </w:pPr>
            <w:r>
              <w:rPr>
                <w:sz w:val="16"/>
                <w:szCs w:val="16"/>
              </w:rPr>
              <w:t>NA</w:t>
            </w:r>
          </w:p>
        </w:tc>
        <w:tc>
          <w:tcPr>
            <w:tcW w:w="1282" w:type="dxa"/>
            <w:gridSpan w:val="2"/>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r w:rsidRPr="00C27DC0">
              <w:rPr>
                <w:sz w:val="16"/>
                <w:szCs w:val="16"/>
              </w:rPr>
              <w:t>Vietnam World Vest Base Financial Intelligence Services Company Limited</w:t>
            </w:r>
            <w:r>
              <w:rPr>
                <w:sz w:val="16"/>
                <w:szCs w:val="16"/>
              </w:rPr>
              <w:t xml:space="preserve">; </w:t>
            </w:r>
            <w:r w:rsidRPr="00C27DC0">
              <w:rPr>
                <w:sz w:val="16"/>
                <w:szCs w:val="16"/>
              </w:rPr>
              <w:t>Vietnam Credit Information &amp; Rating Company</w:t>
            </w:r>
            <w:r>
              <w:rPr>
                <w:sz w:val="16"/>
                <w:szCs w:val="16"/>
              </w:rPr>
              <w:t xml:space="preserve">; </w:t>
            </w:r>
            <w:r w:rsidRPr="00C27DC0">
              <w:rPr>
                <w:sz w:val="16"/>
                <w:szCs w:val="16"/>
              </w:rPr>
              <w:t>Private Credit Bureau</w:t>
            </w:r>
            <w:r>
              <w:rPr>
                <w:sz w:val="16"/>
                <w:szCs w:val="16"/>
              </w:rPr>
              <w:t xml:space="preserve"> etc.</w:t>
            </w:r>
          </w:p>
        </w:tc>
        <w:tc>
          <w:tcPr>
            <w:tcW w:w="1276" w:type="dxa"/>
          </w:tcPr>
          <w:p w:rsidR="00CF6EC5" w:rsidRPr="00EB5AE0" w:rsidRDefault="00CF6EC5" w:rsidP="00CF6EC5">
            <w:pPr>
              <w:rPr>
                <w:sz w:val="16"/>
                <w:szCs w:val="16"/>
              </w:rPr>
            </w:pPr>
          </w:p>
        </w:tc>
      </w:tr>
      <w:tr w:rsidR="00CF6EC5" w:rsidRPr="003470DF" w:rsidTr="003837C6">
        <w:tc>
          <w:tcPr>
            <w:tcW w:w="2129" w:type="dxa"/>
          </w:tcPr>
          <w:p w:rsidR="00CF6EC5" w:rsidRPr="00315A4C" w:rsidRDefault="00CF6EC5" w:rsidP="00CF6EC5">
            <w:pPr>
              <w:pStyle w:val="ListParagraph"/>
              <w:ind w:left="0"/>
              <w:rPr>
                <w:sz w:val="16"/>
                <w:szCs w:val="16"/>
              </w:rPr>
            </w:pPr>
            <w:r>
              <w:rPr>
                <w:sz w:val="16"/>
                <w:szCs w:val="16"/>
              </w:rPr>
              <w:t xml:space="preserve">Housing Finance </w:t>
            </w:r>
            <w:r w:rsidRPr="00315A4C">
              <w:rPr>
                <w:sz w:val="16"/>
                <w:szCs w:val="16"/>
              </w:rPr>
              <w:t>Information system</w:t>
            </w:r>
          </w:p>
        </w:tc>
        <w:tc>
          <w:tcPr>
            <w:tcW w:w="1234" w:type="dxa"/>
          </w:tcPr>
          <w:p w:rsidR="00CF6EC5" w:rsidRPr="00EB5AE0" w:rsidRDefault="00CF6EC5" w:rsidP="00CF6EC5">
            <w:pPr>
              <w:rPr>
                <w:sz w:val="16"/>
                <w:szCs w:val="16"/>
              </w:rPr>
            </w:pPr>
            <w:r w:rsidRPr="00EB5AE0">
              <w:rPr>
                <w:sz w:val="16"/>
                <w:szCs w:val="16"/>
              </w:rPr>
              <w:t>Integrated information system on housing and settlement management (SIM-</w:t>
            </w:r>
            <w:proofErr w:type="spellStart"/>
            <w:r w:rsidRPr="00EB5AE0">
              <w:rPr>
                <w:sz w:val="16"/>
                <w:szCs w:val="16"/>
              </w:rPr>
              <w:t>Rukimdu</w:t>
            </w:r>
            <w:proofErr w:type="spellEnd"/>
            <w:r w:rsidRPr="00EB5AE0">
              <w:rPr>
                <w:sz w:val="16"/>
                <w:szCs w:val="16"/>
              </w:rPr>
              <w:t>)</w:t>
            </w:r>
            <w:r>
              <w:rPr>
                <w:rStyle w:val="FootnoteReference"/>
                <w:sz w:val="16"/>
                <w:szCs w:val="16"/>
              </w:rPr>
              <w:footnoteReference w:id="30"/>
            </w:r>
          </w:p>
        </w:tc>
        <w:tc>
          <w:tcPr>
            <w:tcW w:w="1275" w:type="dxa"/>
          </w:tcPr>
          <w:p w:rsidR="00CF6EC5" w:rsidRPr="00EB5AE0" w:rsidRDefault="00CF6EC5" w:rsidP="00CF6EC5">
            <w:pPr>
              <w:rPr>
                <w:sz w:val="16"/>
                <w:szCs w:val="16"/>
              </w:rPr>
            </w:pPr>
            <w:r>
              <w:rPr>
                <w:sz w:val="16"/>
                <w:szCs w:val="16"/>
              </w:rPr>
              <w:t>NA</w:t>
            </w:r>
          </w:p>
        </w:tc>
        <w:tc>
          <w:tcPr>
            <w:tcW w:w="1282" w:type="dxa"/>
            <w:gridSpan w:val="2"/>
          </w:tcPr>
          <w:p w:rsidR="00CF6EC5" w:rsidRPr="00746460" w:rsidRDefault="00CF6EC5" w:rsidP="00CF6EC5">
            <w:pPr>
              <w:pStyle w:val="ListParagraph"/>
              <w:ind w:left="0"/>
              <w:rPr>
                <w:sz w:val="16"/>
                <w:szCs w:val="16"/>
              </w:rPr>
            </w:pPr>
            <w:r w:rsidRPr="00746460">
              <w:rPr>
                <w:sz w:val="16"/>
                <w:szCs w:val="16"/>
              </w:rPr>
              <w:t>Real Estate Information Center (REIC - MOF)</w:t>
            </w:r>
            <w:r>
              <w:rPr>
                <w:sz w:val="16"/>
                <w:szCs w:val="16"/>
              </w:rPr>
              <w:t>, GHB journal, real estate magazines etc.</w:t>
            </w:r>
          </w:p>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r w:rsidR="00CF6EC5" w:rsidRPr="003470DF" w:rsidTr="003837C6">
        <w:tc>
          <w:tcPr>
            <w:tcW w:w="2129" w:type="dxa"/>
          </w:tcPr>
          <w:p w:rsidR="00CF6EC5" w:rsidRDefault="00CF6EC5" w:rsidP="00CF6EC5">
            <w:pPr>
              <w:pStyle w:val="ListParagraph"/>
              <w:ind w:left="0"/>
              <w:rPr>
                <w:sz w:val="16"/>
                <w:szCs w:val="16"/>
              </w:rPr>
            </w:pPr>
          </w:p>
        </w:tc>
        <w:tc>
          <w:tcPr>
            <w:tcW w:w="1234" w:type="dxa"/>
          </w:tcPr>
          <w:p w:rsidR="00CF6EC5" w:rsidRPr="00EB5AE0" w:rsidRDefault="00CF6EC5" w:rsidP="00CF6EC5">
            <w:pPr>
              <w:rPr>
                <w:sz w:val="16"/>
                <w:szCs w:val="16"/>
              </w:rPr>
            </w:pPr>
          </w:p>
        </w:tc>
        <w:tc>
          <w:tcPr>
            <w:tcW w:w="1275" w:type="dxa"/>
          </w:tcPr>
          <w:p w:rsidR="00CF6EC5" w:rsidRDefault="00CF6EC5" w:rsidP="00CF6EC5">
            <w:pPr>
              <w:rPr>
                <w:sz w:val="16"/>
                <w:szCs w:val="16"/>
              </w:rPr>
            </w:pPr>
          </w:p>
        </w:tc>
        <w:tc>
          <w:tcPr>
            <w:tcW w:w="1282" w:type="dxa"/>
            <w:gridSpan w:val="2"/>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c>
          <w:tcPr>
            <w:tcW w:w="1276" w:type="dxa"/>
          </w:tcPr>
          <w:p w:rsidR="00CF6EC5" w:rsidRPr="00EB5AE0" w:rsidRDefault="00CF6EC5" w:rsidP="00CF6EC5">
            <w:pPr>
              <w:rPr>
                <w:sz w:val="16"/>
                <w:szCs w:val="16"/>
              </w:rPr>
            </w:pPr>
          </w:p>
        </w:tc>
      </w:tr>
    </w:tbl>
    <w:p w:rsidR="001851D1" w:rsidRPr="003470DF" w:rsidRDefault="00325399">
      <w:r>
        <w:br w:type="textWrapping" w:clear="all"/>
      </w:r>
    </w:p>
    <w:sectPr w:rsidR="001851D1" w:rsidRPr="003470DF" w:rsidSect="001B0AA4">
      <w:pgSz w:w="12240" w:h="15840"/>
      <w:pgMar w:top="1135" w:right="616" w:bottom="144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E7" w:rsidRDefault="00A121E7" w:rsidP="00C93F84">
      <w:pPr>
        <w:spacing w:after="0" w:line="240" w:lineRule="auto"/>
      </w:pPr>
      <w:r>
        <w:separator/>
      </w:r>
    </w:p>
  </w:endnote>
  <w:endnote w:type="continuationSeparator" w:id="0">
    <w:p w:rsidR="00A121E7" w:rsidRDefault="00A121E7" w:rsidP="00C9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E7" w:rsidRDefault="00A121E7" w:rsidP="00C93F84">
      <w:pPr>
        <w:spacing w:after="0" w:line="240" w:lineRule="auto"/>
      </w:pPr>
      <w:r>
        <w:separator/>
      </w:r>
    </w:p>
  </w:footnote>
  <w:footnote w:type="continuationSeparator" w:id="0">
    <w:p w:rsidR="00A121E7" w:rsidRDefault="00A121E7" w:rsidP="00C93F84">
      <w:pPr>
        <w:spacing w:after="0" w:line="240" w:lineRule="auto"/>
      </w:pPr>
      <w:r>
        <w:continuationSeparator/>
      </w:r>
    </w:p>
  </w:footnote>
  <w:footnote w:id="1">
    <w:p w:rsidR="00CF6EC5" w:rsidRDefault="00CF6EC5" w:rsidP="00CF6EC5">
      <w:pPr>
        <w:pStyle w:val="FootnoteText"/>
      </w:pPr>
      <w:r>
        <w:rPr>
          <w:rStyle w:val="FootnoteReference"/>
        </w:rPr>
        <w:footnoteRef/>
      </w:r>
      <w:r>
        <w:t xml:space="preserve"> </w:t>
      </w:r>
      <w:r w:rsidRPr="00595250">
        <w:rPr>
          <w:sz w:val="16"/>
          <w:szCs w:val="16"/>
        </w:rPr>
        <w:t>https://www.cia.gov/library/publications/the-world-factbook/geos/id.html</w:t>
      </w:r>
    </w:p>
  </w:footnote>
  <w:footnote w:id="2">
    <w:p w:rsidR="00CF6EC5" w:rsidRPr="00595250" w:rsidRDefault="00CF6EC5" w:rsidP="00CF6EC5">
      <w:pPr>
        <w:pStyle w:val="FootnoteText"/>
        <w:rPr>
          <w:sz w:val="16"/>
        </w:rPr>
      </w:pPr>
      <w:r w:rsidRPr="00595250">
        <w:rPr>
          <w:rStyle w:val="FootnoteReference"/>
          <w:sz w:val="16"/>
        </w:rPr>
        <w:footnoteRef/>
      </w:r>
      <w:r w:rsidRPr="00595250">
        <w:rPr>
          <w:sz w:val="16"/>
        </w:rPr>
        <w:t xml:space="preserve"> http://www.tradingeconomics.com/malaysia/population-density-people-per-sq-km-wb-data.html</w:t>
      </w:r>
    </w:p>
  </w:footnote>
  <w:footnote w:id="3">
    <w:p w:rsidR="00CF6EC5" w:rsidRPr="00CF7925" w:rsidRDefault="00CF6EC5" w:rsidP="00CF6EC5">
      <w:pPr>
        <w:pStyle w:val="FootnoteText"/>
        <w:rPr>
          <w:sz w:val="16"/>
        </w:rPr>
      </w:pPr>
      <w:r>
        <w:rPr>
          <w:rStyle w:val="FootnoteReference"/>
        </w:rPr>
        <w:footnoteRef/>
      </w:r>
      <w:r>
        <w:t xml:space="preserve"> </w:t>
      </w:r>
      <w:proofErr w:type="spellStart"/>
      <w:r w:rsidRPr="00CF7925">
        <w:rPr>
          <w:sz w:val="16"/>
        </w:rPr>
        <w:t>wikipedia</w:t>
      </w:r>
      <w:proofErr w:type="spellEnd"/>
    </w:p>
  </w:footnote>
  <w:footnote w:id="4">
    <w:p w:rsidR="00CF6EC5" w:rsidRDefault="00CF6EC5" w:rsidP="00CF6EC5">
      <w:pPr>
        <w:pStyle w:val="FootnoteText"/>
      </w:pPr>
      <w:r>
        <w:rPr>
          <w:rStyle w:val="FootnoteReference"/>
        </w:rPr>
        <w:footnoteRef/>
      </w:r>
      <w:r>
        <w:t xml:space="preserve"> </w:t>
      </w:r>
      <w:r w:rsidRPr="00595250">
        <w:rPr>
          <w:sz w:val="16"/>
          <w:szCs w:val="16"/>
        </w:rPr>
        <w:t>http://en.wikipedia.org/wiki/List_of_countries_by_GDP_%28nominal%29_per_capita</w:t>
      </w:r>
    </w:p>
  </w:footnote>
  <w:footnote w:id="5">
    <w:p w:rsidR="00CF6EC5" w:rsidRPr="00CF7925" w:rsidRDefault="00CF6EC5" w:rsidP="00CF6EC5">
      <w:pPr>
        <w:pStyle w:val="FootnoteText"/>
        <w:rPr>
          <w:sz w:val="16"/>
        </w:rPr>
      </w:pPr>
      <w:r>
        <w:rPr>
          <w:rStyle w:val="FootnoteReference"/>
        </w:rPr>
        <w:footnoteRef/>
      </w:r>
      <w:r>
        <w:t xml:space="preserve"> </w:t>
      </w:r>
      <w:r w:rsidRPr="00CF7925">
        <w:rPr>
          <w:sz w:val="16"/>
        </w:rPr>
        <w:t>ibid</w:t>
      </w:r>
    </w:p>
  </w:footnote>
  <w:footnote w:id="6">
    <w:p w:rsidR="00CF6EC5" w:rsidRPr="00CF7925" w:rsidRDefault="00CF6EC5" w:rsidP="00CF6EC5">
      <w:pPr>
        <w:pStyle w:val="FootnoteText"/>
        <w:rPr>
          <w:sz w:val="16"/>
        </w:rPr>
      </w:pPr>
      <w:r w:rsidRPr="00595250">
        <w:rPr>
          <w:rStyle w:val="FootnoteReference"/>
        </w:rPr>
        <w:footnoteRef/>
      </w:r>
      <w:r w:rsidRPr="00595250">
        <w:t xml:space="preserve"> </w:t>
      </w:r>
      <w:r w:rsidRPr="00595250">
        <w:rPr>
          <w:sz w:val="16"/>
          <w:szCs w:val="16"/>
        </w:rPr>
        <w:t xml:space="preserve">The Housing Finance Sector in Indonesia, by </w:t>
      </w:r>
      <w:proofErr w:type="spellStart"/>
      <w:r w:rsidRPr="00595250">
        <w:rPr>
          <w:sz w:val="16"/>
          <w:szCs w:val="16"/>
        </w:rPr>
        <w:t>Marja</w:t>
      </w:r>
      <w:proofErr w:type="spellEnd"/>
      <w:r w:rsidRPr="00595250">
        <w:rPr>
          <w:sz w:val="16"/>
          <w:szCs w:val="16"/>
        </w:rPr>
        <w:t xml:space="preserve"> C. </w:t>
      </w:r>
      <w:proofErr w:type="spellStart"/>
      <w:r w:rsidRPr="00595250">
        <w:rPr>
          <w:sz w:val="16"/>
          <w:szCs w:val="16"/>
        </w:rPr>
        <w:t>Hoek-Smit</w:t>
      </w:r>
      <w:proofErr w:type="spellEnd"/>
    </w:p>
  </w:footnote>
  <w:footnote w:id="7">
    <w:p w:rsidR="00CF6EC5" w:rsidRPr="00CF7925" w:rsidRDefault="00CF6EC5" w:rsidP="00CF6EC5">
      <w:pPr>
        <w:pStyle w:val="FootnoteText"/>
        <w:rPr>
          <w:sz w:val="12"/>
        </w:rPr>
      </w:pPr>
      <w:r w:rsidRPr="00CF7925">
        <w:rPr>
          <w:rStyle w:val="FootnoteReference"/>
          <w:sz w:val="16"/>
        </w:rPr>
        <w:footnoteRef/>
      </w:r>
      <w:r w:rsidRPr="00CF7925">
        <w:rPr>
          <w:sz w:val="16"/>
        </w:rPr>
        <w:t xml:space="preserve"> </w:t>
      </w:r>
      <w:r w:rsidRPr="00CF7925">
        <w:rPr>
          <w:sz w:val="12"/>
        </w:rPr>
        <w:t xml:space="preserve">Sustaining Housing Market, by University </w:t>
      </w:r>
      <w:proofErr w:type="spellStart"/>
      <w:r w:rsidRPr="00CF7925">
        <w:rPr>
          <w:sz w:val="12"/>
        </w:rPr>
        <w:t>Teknoloji</w:t>
      </w:r>
      <w:proofErr w:type="spellEnd"/>
      <w:r w:rsidRPr="00CF7925">
        <w:rPr>
          <w:sz w:val="12"/>
        </w:rPr>
        <w:t xml:space="preserve"> Malaysia (UTM)</w:t>
      </w:r>
    </w:p>
  </w:footnote>
  <w:footnote w:id="8">
    <w:p w:rsidR="00CF6EC5" w:rsidRPr="00CF7925" w:rsidRDefault="00CF6EC5" w:rsidP="00CF6EC5">
      <w:pPr>
        <w:pStyle w:val="FootnoteText"/>
        <w:rPr>
          <w:sz w:val="16"/>
        </w:rPr>
      </w:pPr>
      <w:r w:rsidRPr="00CF7925">
        <w:rPr>
          <w:rStyle w:val="FootnoteReference"/>
          <w:sz w:val="16"/>
        </w:rPr>
        <w:footnoteRef/>
      </w:r>
      <w:r w:rsidRPr="00CF7925">
        <w:rPr>
          <w:sz w:val="16"/>
        </w:rPr>
        <w:t xml:space="preserve"> Housing Finance Mechanism in Thailand, by UN-HABITAT</w:t>
      </w:r>
    </w:p>
  </w:footnote>
  <w:footnote w:id="9">
    <w:p w:rsidR="00CF6EC5" w:rsidRDefault="00CF6EC5" w:rsidP="00CF6EC5">
      <w:pPr>
        <w:pStyle w:val="FootnoteText"/>
      </w:pPr>
      <w:r w:rsidRPr="00CF7925">
        <w:rPr>
          <w:rStyle w:val="FootnoteReference"/>
          <w:sz w:val="16"/>
        </w:rPr>
        <w:footnoteRef/>
      </w:r>
      <w:r w:rsidRPr="00CF7925">
        <w:rPr>
          <w:sz w:val="16"/>
        </w:rPr>
        <w:t xml:space="preserve"> Community Based Housing Finance Initiatives, by UN-Habitat</w:t>
      </w:r>
    </w:p>
  </w:footnote>
  <w:footnote w:id="10">
    <w:p w:rsidR="00CF6EC5" w:rsidRDefault="00CF6EC5" w:rsidP="00CF6EC5">
      <w:pPr>
        <w:pStyle w:val="FootnoteText"/>
      </w:pPr>
      <w:r>
        <w:rPr>
          <w:rStyle w:val="FootnoteReference"/>
        </w:rPr>
        <w:footnoteRef/>
      </w:r>
      <w:r>
        <w:t xml:space="preserve"> </w:t>
      </w:r>
      <w:r w:rsidRPr="00DE69CE">
        <w:rPr>
          <w:sz w:val="16"/>
          <w:szCs w:val="16"/>
        </w:rPr>
        <w:t>ibid</w:t>
      </w:r>
    </w:p>
  </w:footnote>
  <w:footnote w:id="11">
    <w:p w:rsidR="00CF6EC5" w:rsidRPr="00436C2B" w:rsidRDefault="00CF6EC5" w:rsidP="00CF6EC5">
      <w:pPr>
        <w:pStyle w:val="FootnoteText"/>
        <w:rPr>
          <w:sz w:val="16"/>
        </w:rPr>
      </w:pPr>
      <w:r>
        <w:rPr>
          <w:rStyle w:val="FootnoteReference"/>
        </w:rPr>
        <w:footnoteRef/>
      </w:r>
      <w:r>
        <w:t xml:space="preserve"> </w:t>
      </w:r>
      <w:r w:rsidRPr="00436C2B">
        <w:rPr>
          <w:sz w:val="16"/>
        </w:rPr>
        <w:t>Malaysia – country profile, Johannesburg Summit 2002</w:t>
      </w:r>
    </w:p>
  </w:footnote>
  <w:footnote w:id="12">
    <w:p w:rsidR="00CF6EC5" w:rsidRDefault="00CF6EC5" w:rsidP="00CF6EC5">
      <w:pPr>
        <w:pStyle w:val="FootnoteText"/>
      </w:pPr>
      <w:r>
        <w:rPr>
          <w:rStyle w:val="FootnoteReference"/>
        </w:rPr>
        <w:footnoteRef/>
      </w:r>
      <w:r>
        <w:t xml:space="preserve"> </w:t>
      </w:r>
      <w:r w:rsidRPr="00157526">
        <w:rPr>
          <w:sz w:val="16"/>
        </w:rPr>
        <w:t>ibid</w:t>
      </w:r>
    </w:p>
  </w:footnote>
  <w:footnote w:id="13">
    <w:p w:rsidR="00CF6EC5" w:rsidRPr="00436C2B" w:rsidRDefault="00CF6EC5" w:rsidP="00CF6EC5">
      <w:pPr>
        <w:pStyle w:val="FootnoteText"/>
        <w:rPr>
          <w:sz w:val="16"/>
        </w:rPr>
      </w:pPr>
      <w:r>
        <w:rPr>
          <w:rStyle w:val="FootnoteReference"/>
        </w:rPr>
        <w:footnoteRef/>
      </w:r>
      <w:r>
        <w:t xml:space="preserve"> </w:t>
      </w:r>
      <w:r w:rsidRPr="00436C2B">
        <w:rPr>
          <w:sz w:val="16"/>
        </w:rPr>
        <w:t xml:space="preserve">Sustaining Housing Market, by University </w:t>
      </w:r>
      <w:proofErr w:type="spellStart"/>
      <w:r w:rsidRPr="00436C2B">
        <w:rPr>
          <w:sz w:val="16"/>
        </w:rPr>
        <w:t>Teknoloji</w:t>
      </w:r>
      <w:proofErr w:type="spellEnd"/>
      <w:r w:rsidRPr="00436C2B">
        <w:rPr>
          <w:sz w:val="16"/>
        </w:rPr>
        <w:t xml:space="preserve"> Malaysia (UTM)</w:t>
      </w:r>
    </w:p>
  </w:footnote>
  <w:footnote w:id="14">
    <w:p w:rsidR="00CF6EC5" w:rsidRDefault="00CF6EC5" w:rsidP="00CF6EC5">
      <w:pPr>
        <w:pStyle w:val="FootnoteText"/>
      </w:pPr>
      <w:r>
        <w:rPr>
          <w:rStyle w:val="FootnoteReference"/>
        </w:rPr>
        <w:footnoteRef/>
      </w:r>
      <w:r>
        <w:t xml:space="preserve"> Hofinet.org</w:t>
      </w:r>
    </w:p>
  </w:footnote>
  <w:footnote w:id="15">
    <w:p w:rsidR="00CF6EC5" w:rsidRDefault="00CF6EC5" w:rsidP="00CF6EC5">
      <w:pPr>
        <w:pStyle w:val="FootnoteText"/>
      </w:pPr>
      <w:r>
        <w:rPr>
          <w:rStyle w:val="FootnoteReference"/>
        </w:rPr>
        <w:footnoteRef/>
      </w:r>
      <w:r>
        <w:t xml:space="preserve"> </w:t>
      </w:r>
      <w:r w:rsidRPr="007C6D21">
        <w:rPr>
          <w:sz w:val="16"/>
          <w:szCs w:val="16"/>
        </w:rPr>
        <w:t>The creation of a Secondary Mortgage Facility in Indonesia, by Michael J. Lea et al</w:t>
      </w:r>
    </w:p>
  </w:footnote>
  <w:footnote w:id="16">
    <w:p w:rsidR="00CF6EC5" w:rsidRDefault="00CF6EC5" w:rsidP="00CF6EC5">
      <w:pPr>
        <w:pStyle w:val="FootnoteText"/>
      </w:pPr>
      <w:r>
        <w:rPr>
          <w:rStyle w:val="FootnoteReference"/>
        </w:rPr>
        <w:footnoteRef/>
      </w:r>
      <w:r>
        <w:t xml:space="preserve"> </w:t>
      </w:r>
      <w:r w:rsidRPr="00F36E91">
        <w:rPr>
          <w:sz w:val="16"/>
        </w:rPr>
        <w:t>Mongolia country profile, Johannesburg Summit 2002, UN</w:t>
      </w:r>
    </w:p>
  </w:footnote>
  <w:footnote w:id="17">
    <w:p w:rsidR="00CF6EC5" w:rsidRDefault="00CF6EC5" w:rsidP="00CF6EC5">
      <w:pPr>
        <w:pStyle w:val="FootnoteText"/>
      </w:pPr>
      <w:r>
        <w:rPr>
          <w:rStyle w:val="FootnoteReference"/>
        </w:rPr>
        <w:footnoteRef/>
      </w:r>
      <w:r>
        <w:t xml:space="preserve"> </w:t>
      </w:r>
      <w:r>
        <w:rPr>
          <w:sz w:val="16"/>
          <w:szCs w:val="16"/>
        </w:rPr>
        <w:t>Bank Negara Malaysia site: ‘http://www.bnm.gov.my</w:t>
      </w:r>
      <w:r w:rsidR="00F36E91">
        <w:rPr>
          <w:sz w:val="16"/>
          <w:szCs w:val="16"/>
        </w:rPr>
        <w:t>’</w:t>
      </w:r>
    </w:p>
  </w:footnote>
  <w:footnote w:id="18">
    <w:p w:rsidR="00CF6EC5" w:rsidRPr="00847EDF" w:rsidRDefault="00CF6EC5" w:rsidP="00CF6EC5">
      <w:pPr>
        <w:pStyle w:val="FootnoteText"/>
        <w:rPr>
          <w:sz w:val="16"/>
        </w:rPr>
      </w:pPr>
      <w:r>
        <w:rPr>
          <w:rStyle w:val="FootnoteReference"/>
        </w:rPr>
        <w:footnoteRef/>
      </w:r>
      <w:r>
        <w:t xml:space="preserve"> </w:t>
      </w:r>
      <w:r w:rsidRPr="00847EDF">
        <w:rPr>
          <w:sz w:val="16"/>
        </w:rPr>
        <w:t>http://www.chanrobles.com/legal3hlurb.htm#.UCJTWKA-mZQ</w:t>
      </w:r>
    </w:p>
  </w:footnote>
  <w:footnote w:id="19">
    <w:p w:rsidR="00CF6EC5" w:rsidRPr="00847EDF" w:rsidRDefault="00CF6EC5" w:rsidP="00CF6EC5">
      <w:pPr>
        <w:pStyle w:val="FootnoteText"/>
        <w:rPr>
          <w:sz w:val="16"/>
        </w:rPr>
      </w:pPr>
      <w:r w:rsidRPr="00847EDF">
        <w:rPr>
          <w:rStyle w:val="FootnoteReference"/>
          <w:sz w:val="16"/>
        </w:rPr>
        <w:footnoteRef/>
      </w:r>
      <w:r w:rsidRPr="00847EDF">
        <w:rPr>
          <w:sz w:val="16"/>
        </w:rPr>
        <w:t xml:space="preserve"> Recent Development in Housing Finance in the Philippines, by </w:t>
      </w:r>
      <w:proofErr w:type="spellStart"/>
      <w:r w:rsidRPr="00847EDF">
        <w:rPr>
          <w:sz w:val="16"/>
        </w:rPr>
        <w:t>Zorayda</w:t>
      </w:r>
      <w:proofErr w:type="spellEnd"/>
      <w:r w:rsidRPr="00847EDF">
        <w:rPr>
          <w:sz w:val="16"/>
        </w:rPr>
        <w:t xml:space="preserve"> C. Alonzo</w:t>
      </w:r>
    </w:p>
  </w:footnote>
  <w:footnote w:id="20">
    <w:p w:rsidR="00CF6EC5" w:rsidRPr="00847EDF" w:rsidRDefault="00CF6EC5" w:rsidP="00CF6EC5">
      <w:pPr>
        <w:pStyle w:val="FootnoteText"/>
        <w:rPr>
          <w:sz w:val="16"/>
        </w:rPr>
      </w:pPr>
      <w:r w:rsidRPr="00847EDF">
        <w:rPr>
          <w:rStyle w:val="FootnoteReference"/>
          <w:sz w:val="16"/>
        </w:rPr>
        <w:footnoteRef/>
      </w:r>
      <w:r w:rsidRPr="00847EDF">
        <w:rPr>
          <w:sz w:val="16"/>
        </w:rPr>
        <w:t xml:space="preserve"> http://www.batasnatin.com/law-library/civil-law/obligations-and-contracts/822-real-estate-mortgage-articles-2124-2131.html</w:t>
      </w:r>
    </w:p>
  </w:footnote>
  <w:footnote w:id="21">
    <w:p w:rsidR="00CF6EC5" w:rsidRPr="00847EDF" w:rsidRDefault="00CF6EC5" w:rsidP="00CF6EC5">
      <w:pPr>
        <w:pStyle w:val="FootnoteText"/>
        <w:rPr>
          <w:sz w:val="16"/>
        </w:rPr>
      </w:pPr>
      <w:r w:rsidRPr="00847EDF">
        <w:rPr>
          <w:rStyle w:val="FootnoteReference"/>
          <w:sz w:val="16"/>
        </w:rPr>
        <w:footnoteRef/>
      </w:r>
      <w:r w:rsidRPr="00847EDF">
        <w:rPr>
          <w:sz w:val="16"/>
        </w:rPr>
        <w:t xml:space="preserve"> </w:t>
      </w:r>
      <w:r w:rsidRPr="00847EDF">
        <w:rPr>
          <w:rFonts w:ascii="Arial" w:eastAsiaTheme="minorEastAsia" w:hAnsi="Arial" w:cs="Cordia New"/>
          <w:bCs/>
          <w:kern w:val="24"/>
          <w:sz w:val="14"/>
          <w:szCs w:val="18"/>
        </w:rPr>
        <w:t>Growth with Stability in Affordable Housing Markets, presentation by GHB of Thailand</w:t>
      </w:r>
    </w:p>
  </w:footnote>
  <w:footnote w:id="22">
    <w:p w:rsidR="00CF6EC5" w:rsidRPr="00847EDF" w:rsidRDefault="00CF6EC5" w:rsidP="00CF6EC5">
      <w:pPr>
        <w:pStyle w:val="FootnoteText"/>
        <w:rPr>
          <w:sz w:val="16"/>
        </w:rPr>
      </w:pPr>
      <w:r w:rsidRPr="00847EDF">
        <w:rPr>
          <w:rStyle w:val="FootnoteReference"/>
          <w:sz w:val="16"/>
        </w:rPr>
        <w:footnoteRef/>
      </w:r>
      <w:r w:rsidRPr="00847EDF">
        <w:rPr>
          <w:sz w:val="16"/>
        </w:rPr>
        <w:t xml:space="preserve"> Community Based Housing Finance Initiative, by UN-Habitat</w:t>
      </w:r>
    </w:p>
  </w:footnote>
  <w:footnote w:id="23">
    <w:p w:rsidR="00CF6EC5" w:rsidRPr="001B0AA4" w:rsidRDefault="00CF6EC5" w:rsidP="00CF6EC5">
      <w:pPr>
        <w:pStyle w:val="FootnoteText"/>
        <w:rPr>
          <w:sz w:val="16"/>
        </w:rPr>
      </w:pPr>
      <w:r>
        <w:rPr>
          <w:rStyle w:val="FootnoteReference"/>
        </w:rPr>
        <w:footnoteRef/>
      </w:r>
      <w:r>
        <w:t xml:space="preserve"> </w:t>
      </w:r>
      <w:r w:rsidRPr="001B0AA4">
        <w:rPr>
          <w:sz w:val="16"/>
        </w:rPr>
        <w:t>http://www.cpv.org.vn/cpv/Modules/News_English/News_Detail_E.aspx?CN_ID=450169&amp;CO_ID=30181</w:t>
      </w:r>
    </w:p>
  </w:footnote>
  <w:footnote w:id="24">
    <w:p w:rsidR="00CF6EC5" w:rsidRPr="001B0AA4" w:rsidRDefault="00CF6EC5" w:rsidP="00CF6EC5">
      <w:pPr>
        <w:pStyle w:val="FootnoteText"/>
        <w:rPr>
          <w:sz w:val="16"/>
        </w:rPr>
      </w:pPr>
      <w:r w:rsidRPr="001B0AA4">
        <w:rPr>
          <w:rStyle w:val="FootnoteReference"/>
          <w:sz w:val="16"/>
        </w:rPr>
        <w:footnoteRef/>
      </w:r>
      <w:r w:rsidRPr="001B0AA4">
        <w:rPr>
          <w:sz w:val="16"/>
        </w:rPr>
        <w:t xml:space="preserve"> http://talkvietnam.com/2012/07/housing-program-to-support-500000-poor-households/</w:t>
      </w:r>
    </w:p>
  </w:footnote>
  <w:footnote w:id="25">
    <w:p w:rsidR="00CF6EC5" w:rsidRPr="001B0AA4" w:rsidRDefault="00CF6EC5" w:rsidP="00CF6EC5">
      <w:pPr>
        <w:pStyle w:val="FootnoteText"/>
        <w:rPr>
          <w:sz w:val="16"/>
        </w:rPr>
      </w:pPr>
      <w:r w:rsidRPr="001B0AA4">
        <w:rPr>
          <w:rStyle w:val="FootnoteReference"/>
          <w:sz w:val="16"/>
        </w:rPr>
        <w:footnoteRef/>
      </w:r>
      <w:r w:rsidRPr="001B0AA4">
        <w:rPr>
          <w:sz w:val="16"/>
        </w:rPr>
        <w:t xml:space="preserve"> Human Security and NGO &amp; Governmental Roles, by Jane J. Simmons</w:t>
      </w:r>
    </w:p>
  </w:footnote>
  <w:footnote w:id="26">
    <w:p w:rsidR="00CF6EC5" w:rsidRDefault="00CF6EC5" w:rsidP="00CF6EC5">
      <w:pPr>
        <w:pStyle w:val="FootnoteText"/>
      </w:pPr>
      <w:r>
        <w:rPr>
          <w:rStyle w:val="FootnoteReference"/>
        </w:rPr>
        <w:footnoteRef/>
      </w:r>
      <w:r>
        <w:t xml:space="preserve"> </w:t>
      </w:r>
      <w:r w:rsidRPr="00A61C01">
        <w:rPr>
          <w:sz w:val="16"/>
        </w:rPr>
        <w:t>Housing Finance Mechanisms in Indonesia, by UN-Habitat</w:t>
      </w:r>
    </w:p>
  </w:footnote>
  <w:footnote w:id="27">
    <w:p w:rsidR="00CF6EC5" w:rsidRPr="001B0AA4" w:rsidRDefault="00CF6EC5" w:rsidP="00CF6EC5">
      <w:pPr>
        <w:pStyle w:val="FootnoteText"/>
        <w:rPr>
          <w:sz w:val="16"/>
        </w:rPr>
      </w:pPr>
      <w:r>
        <w:rPr>
          <w:rStyle w:val="FootnoteReference"/>
        </w:rPr>
        <w:footnoteRef/>
      </w:r>
      <w:r>
        <w:t xml:space="preserve"> </w:t>
      </w:r>
      <w:r w:rsidRPr="001B0AA4">
        <w:rPr>
          <w:sz w:val="16"/>
        </w:rPr>
        <w:t>Hofinet.org</w:t>
      </w:r>
    </w:p>
  </w:footnote>
  <w:footnote w:id="28">
    <w:p w:rsidR="00CF6EC5" w:rsidRPr="001B0AA4" w:rsidRDefault="00CF6EC5" w:rsidP="00CF6EC5">
      <w:pPr>
        <w:pStyle w:val="FootnoteText"/>
        <w:rPr>
          <w:sz w:val="16"/>
        </w:rPr>
      </w:pPr>
      <w:r w:rsidRPr="001B0AA4">
        <w:rPr>
          <w:rStyle w:val="FootnoteReference"/>
          <w:sz w:val="16"/>
        </w:rPr>
        <w:footnoteRef/>
      </w:r>
      <w:r w:rsidRPr="001B0AA4">
        <w:rPr>
          <w:sz w:val="16"/>
        </w:rPr>
        <w:t xml:space="preserve"> ibid</w:t>
      </w:r>
    </w:p>
  </w:footnote>
  <w:footnote w:id="29">
    <w:p w:rsidR="00CF6EC5" w:rsidRDefault="00CF6EC5" w:rsidP="00CF6EC5">
      <w:pPr>
        <w:pStyle w:val="FootnoteText"/>
      </w:pPr>
      <w:r w:rsidRPr="001B0AA4">
        <w:rPr>
          <w:rStyle w:val="FootnoteReference"/>
          <w:sz w:val="16"/>
        </w:rPr>
        <w:footnoteRef/>
      </w:r>
      <w:r w:rsidRPr="001B0AA4">
        <w:rPr>
          <w:sz w:val="16"/>
        </w:rPr>
        <w:t xml:space="preserve"> ibid</w:t>
      </w:r>
    </w:p>
  </w:footnote>
  <w:footnote w:id="30">
    <w:p w:rsidR="00CF6EC5" w:rsidRDefault="00CF6EC5" w:rsidP="00CF6EC5">
      <w:pPr>
        <w:pStyle w:val="FootnoteText"/>
      </w:pPr>
      <w:r>
        <w:rPr>
          <w:rStyle w:val="FootnoteReference"/>
        </w:rPr>
        <w:footnoteRef/>
      </w:r>
      <w:r>
        <w:t xml:space="preserve"> </w:t>
      </w:r>
      <w:r w:rsidRPr="00213557">
        <w:rPr>
          <w:sz w:val="16"/>
        </w:rPr>
        <w:t>Johannesburg Summit 2002, Indonesia Country Profile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730"/>
    <w:multiLevelType w:val="hybridMultilevel"/>
    <w:tmpl w:val="2FDC8A36"/>
    <w:lvl w:ilvl="0" w:tplc="00C4DA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B6E5C"/>
    <w:multiLevelType w:val="hybridMultilevel"/>
    <w:tmpl w:val="7CC40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820DE"/>
    <w:multiLevelType w:val="hybridMultilevel"/>
    <w:tmpl w:val="1B20E63A"/>
    <w:lvl w:ilvl="0" w:tplc="7080643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B47A8"/>
    <w:multiLevelType w:val="hybridMultilevel"/>
    <w:tmpl w:val="8E8E6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76B1BAE"/>
    <w:multiLevelType w:val="hybridMultilevel"/>
    <w:tmpl w:val="3F42521E"/>
    <w:lvl w:ilvl="0" w:tplc="6714D1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17530C3"/>
    <w:multiLevelType w:val="hybridMultilevel"/>
    <w:tmpl w:val="E6A4E210"/>
    <w:lvl w:ilvl="0" w:tplc="7080643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542371"/>
    <w:multiLevelType w:val="hybridMultilevel"/>
    <w:tmpl w:val="34F28CC8"/>
    <w:lvl w:ilvl="0" w:tplc="70CCDB1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924C73"/>
    <w:multiLevelType w:val="multilevel"/>
    <w:tmpl w:val="DF6268F8"/>
    <w:lvl w:ilvl="0">
      <w:start w:val="1"/>
      <w:numFmt w:val="decimal"/>
      <w:lvlText w:val="%1."/>
      <w:lvlJc w:val="left"/>
      <w:pPr>
        <w:ind w:left="1080" w:hanging="360"/>
      </w:pPr>
      <w:rPr>
        <w:rFonts w:hint="default"/>
      </w:rPr>
    </w:lvl>
    <w:lvl w:ilvl="1">
      <w:start w:val="1"/>
      <w:numFmt w:val="decimal"/>
      <w:isLgl/>
      <w:lvlText w:val="%1.%2"/>
      <w:lvlJc w:val="left"/>
      <w:pPr>
        <w:ind w:left="225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800" w:hanging="1440"/>
      </w:pPr>
      <w:rPr>
        <w:rFonts w:hint="default"/>
      </w:rPr>
    </w:lvl>
  </w:abstractNum>
  <w:abstractNum w:abstractNumId="8">
    <w:nsid w:val="78D315B2"/>
    <w:multiLevelType w:val="hybridMultilevel"/>
    <w:tmpl w:val="8482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3"/>
  </w:num>
  <w:num w:numId="5">
    <w:abstractNumId w:val="4"/>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73"/>
    <w:rsid w:val="0001061C"/>
    <w:rsid w:val="00016953"/>
    <w:rsid w:val="00023D4B"/>
    <w:rsid w:val="00025F25"/>
    <w:rsid w:val="000449D0"/>
    <w:rsid w:val="000558D1"/>
    <w:rsid w:val="00083BD9"/>
    <w:rsid w:val="000852E6"/>
    <w:rsid w:val="000A0C42"/>
    <w:rsid w:val="000B2C58"/>
    <w:rsid w:val="000B4682"/>
    <w:rsid w:val="000B784C"/>
    <w:rsid w:val="000C24C8"/>
    <w:rsid w:val="000E430C"/>
    <w:rsid w:val="000E56DE"/>
    <w:rsid w:val="0010128C"/>
    <w:rsid w:val="00104B27"/>
    <w:rsid w:val="0014244B"/>
    <w:rsid w:val="0014394A"/>
    <w:rsid w:val="00150C66"/>
    <w:rsid w:val="00157526"/>
    <w:rsid w:val="00175ADA"/>
    <w:rsid w:val="001851D1"/>
    <w:rsid w:val="001A47E0"/>
    <w:rsid w:val="001B0AA4"/>
    <w:rsid w:val="001D77B8"/>
    <w:rsid w:val="001E1FDF"/>
    <w:rsid w:val="001E64EE"/>
    <w:rsid w:val="00213557"/>
    <w:rsid w:val="00242DB2"/>
    <w:rsid w:val="00296BAA"/>
    <w:rsid w:val="002A10BD"/>
    <w:rsid w:val="002B2122"/>
    <w:rsid w:val="00300C2A"/>
    <w:rsid w:val="003118E4"/>
    <w:rsid w:val="00315A4C"/>
    <w:rsid w:val="00325399"/>
    <w:rsid w:val="00344DF1"/>
    <w:rsid w:val="003470DF"/>
    <w:rsid w:val="003632F7"/>
    <w:rsid w:val="00381A1A"/>
    <w:rsid w:val="003837C6"/>
    <w:rsid w:val="00387B4A"/>
    <w:rsid w:val="00393B98"/>
    <w:rsid w:val="003E0CC6"/>
    <w:rsid w:val="00436C2B"/>
    <w:rsid w:val="00480916"/>
    <w:rsid w:val="00486EA2"/>
    <w:rsid w:val="004A151D"/>
    <w:rsid w:val="004B0AB2"/>
    <w:rsid w:val="004B69CB"/>
    <w:rsid w:val="004C2AED"/>
    <w:rsid w:val="00505B19"/>
    <w:rsid w:val="005124B5"/>
    <w:rsid w:val="005429B0"/>
    <w:rsid w:val="00546086"/>
    <w:rsid w:val="00584652"/>
    <w:rsid w:val="00595250"/>
    <w:rsid w:val="005A6CEA"/>
    <w:rsid w:val="005E23B1"/>
    <w:rsid w:val="005E650D"/>
    <w:rsid w:val="0061070F"/>
    <w:rsid w:val="0061736A"/>
    <w:rsid w:val="006233C1"/>
    <w:rsid w:val="00633A2C"/>
    <w:rsid w:val="00693E0D"/>
    <w:rsid w:val="006E11AA"/>
    <w:rsid w:val="006E372A"/>
    <w:rsid w:val="006F36E1"/>
    <w:rsid w:val="00742DCD"/>
    <w:rsid w:val="00752DFF"/>
    <w:rsid w:val="00757D03"/>
    <w:rsid w:val="007701DE"/>
    <w:rsid w:val="00773A49"/>
    <w:rsid w:val="0077590C"/>
    <w:rsid w:val="00780D0D"/>
    <w:rsid w:val="0078259E"/>
    <w:rsid w:val="007C6D21"/>
    <w:rsid w:val="007D5936"/>
    <w:rsid w:val="00804426"/>
    <w:rsid w:val="0080663D"/>
    <w:rsid w:val="00847EDF"/>
    <w:rsid w:val="0086011D"/>
    <w:rsid w:val="00880457"/>
    <w:rsid w:val="009411D9"/>
    <w:rsid w:val="009B00C9"/>
    <w:rsid w:val="009B0AF9"/>
    <w:rsid w:val="009B1C60"/>
    <w:rsid w:val="009C4532"/>
    <w:rsid w:val="009D1FF6"/>
    <w:rsid w:val="00A121E7"/>
    <w:rsid w:val="00A6026E"/>
    <w:rsid w:val="00A61C01"/>
    <w:rsid w:val="00A910F1"/>
    <w:rsid w:val="00A9305F"/>
    <w:rsid w:val="00AB5019"/>
    <w:rsid w:val="00AB76CB"/>
    <w:rsid w:val="00AB7EF9"/>
    <w:rsid w:val="00AC26DF"/>
    <w:rsid w:val="00AE08DF"/>
    <w:rsid w:val="00AE1250"/>
    <w:rsid w:val="00AF26D1"/>
    <w:rsid w:val="00B0203C"/>
    <w:rsid w:val="00B247EA"/>
    <w:rsid w:val="00B9051A"/>
    <w:rsid w:val="00B963C0"/>
    <w:rsid w:val="00BF7FAC"/>
    <w:rsid w:val="00C051AB"/>
    <w:rsid w:val="00C053CB"/>
    <w:rsid w:val="00C47DAF"/>
    <w:rsid w:val="00C55F5A"/>
    <w:rsid w:val="00C93F84"/>
    <w:rsid w:val="00CA08B5"/>
    <w:rsid w:val="00CC1A49"/>
    <w:rsid w:val="00CD090E"/>
    <w:rsid w:val="00CD3490"/>
    <w:rsid w:val="00CF45CE"/>
    <w:rsid w:val="00CF6EC5"/>
    <w:rsid w:val="00CF7925"/>
    <w:rsid w:val="00D007A6"/>
    <w:rsid w:val="00DE69CE"/>
    <w:rsid w:val="00E07CAF"/>
    <w:rsid w:val="00E53FDC"/>
    <w:rsid w:val="00E549EA"/>
    <w:rsid w:val="00E641A7"/>
    <w:rsid w:val="00EB5AE0"/>
    <w:rsid w:val="00EE0DDC"/>
    <w:rsid w:val="00EE564F"/>
    <w:rsid w:val="00EF5822"/>
    <w:rsid w:val="00F36E91"/>
    <w:rsid w:val="00F42740"/>
    <w:rsid w:val="00F61C43"/>
    <w:rsid w:val="00F70638"/>
    <w:rsid w:val="00F75D7A"/>
    <w:rsid w:val="00F83EAF"/>
    <w:rsid w:val="00FA2B38"/>
    <w:rsid w:val="00FE49F8"/>
    <w:rsid w:val="00FE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2DFF"/>
    <w:pPr>
      <w:ind w:left="720"/>
      <w:contextualSpacing/>
    </w:pPr>
  </w:style>
  <w:style w:type="character" w:styleId="CommentReference">
    <w:name w:val="annotation reference"/>
    <w:basedOn w:val="DefaultParagraphFont"/>
    <w:uiPriority w:val="99"/>
    <w:semiHidden/>
    <w:unhideWhenUsed/>
    <w:rsid w:val="00EE564F"/>
    <w:rPr>
      <w:sz w:val="16"/>
      <w:szCs w:val="16"/>
    </w:rPr>
  </w:style>
  <w:style w:type="paragraph" w:styleId="CommentText">
    <w:name w:val="annotation text"/>
    <w:basedOn w:val="Normal"/>
    <w:link w:val="CommentTextChar"/>
    <w:uiPriority w:val="99"/>
    <w:semiHidden/>
    <w:unhideWhenUsed/>
    <w:rsid w:val="00EE564F"/>
    <w:pPr>
      <w:spacing w:line="240" w:lineRule="auto"/>
    </w:pPr>
    <w:rPr>
      <w:sz w:val="20"/>
      <w:szCs w:val="20"/>
    </w:rPr>
  </w:style>
  <w:style w:type="character" w:customStyle="1" w:styleId="CommentTextChar">
    <w:name w:val="Comment Text Char"/>
    <w:basedOn w:val="DefaultParagraphFont"/>
    <w:link w:val="CommentText"/>
    <w:uiPriority w:val="99"/>
    <w:semiHidden/>
    <w:rsid w:val="00EE564F"/>
    <w:rPr>
      <w:sz w:val="20"/>
      <w:szCs w:val="20"/>
    </w:rPr>
  </w:style>
  <w:style w:type="paragraph" w:styleId="CommentSubject">
    <w:name w:val="annotation subject"/>
    <w:basedOn w:val="CommentText"/>
    <w:next w:val="CommentText"/>
    <w:link w:val="CommentSubjectChar"/>
    <w:uiPriority w:val="99"/>
    <w:semiHidden/>
    <w:unhideWhenUsed/>
    <w:rsid w:val="00EE564F"/>
    <w:rPr>
      <w:b/>
      <w:bCs/>
    </w:rPr>
  </w:style>
  <w:style w:type="character" w:customStyle="1" w:styleId="CommentSubjectChar">
    <w:name w:val="Comment Subject Char"/>
    <w:basedOn w:val="CommentTextChar"/>
    <w:link w:val="CommentSubject"/>
    <w:uiPriority w:val="99"/>
    <w:semiHidden/>
    <w:rsid w:val="00EE564F"/>
    <w:rPr>
      <w:b/>
      <w:bCs/>
      <w:sz w:val="20"/>
      <w:szCs w:val="20"/>
    </w:rPr>
  </w:style>
  <w:style w:type="paragraph" w:styleId="BalloonText">
    <w:name w:val="Balloon Text"/>
    <w:basedOn w:val="Normal"/>
    <w:link w:val="BalloonTextChar"/>
    <w:uiPriority w:val="99"/>
    <w:semiHidden/>
    <w:unhideWhenUsed/>
    <w:rsid w:val="00EE5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4F"/>
    <w:rPr>
      <w:rFonts w:ascii="Tahoma" w:hAnsi="Tahoma" w:cs="Tahoma"/>
      <w:sz w:val="16"/>
      <w:szCs w:val="16"/>
    </w:rPr>
  </w:style>
  <w:style w:type="paragraph" w:styleId="FootnoteText">
    <w:name w:val="footnote text"/>
    <w:basedOn w:val="Normal"/>
    <w:link w:val="FootnoteTextChar"/>
    <w:uiPriority w:val="99"/>
    <w:semiHidden/>
    <w:unhideWhenUsed/>
    <w:rsid w:val="00C93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F84"/>
    <w:rPr>
      <w:sz w:val="20"/>
      <w:szCs w:val="20"/>
    </w:rPr>
  </w:style>
  <w:style w:type="character" w:styleId="FootnoteReference">
    <w:name w:val="footnote reference"/>
    <w:basedOn w:val="DefaultParagraphFont"/>
    <w:uiPriority w:val="99"/>
    <w:semiHidden/>
    <w:unhideWhenUsed/>
    <w:rsid w:val="00C93F84"/>
    <w:rPr>
      <w:vertAlign w:val="superscript"/>
    </w:rPr>
  </w:style>
  <w:style w:type="character" w:customStyle="1" w:styleId="newsfrancedetailcontent">
    <w:name w:val="news_france_detail_content"/>
    <w:basedOn w:val="DefaultParagraphFont"/>
    <w:rsid w:val="00EF5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2DFF"/>
    <w:pPr>
      <w:ind w:left="720"/>
      <w:contextualSpacing/>
    </w:pPr>
  </w:style>
  <w:style w:type="character" w:styleId="CommentReference">
    <w:name w:val="annotation reference"/>
    <w:basedOn w:val="DefaultParagraphFont"/>
    <w:uiPriority w:val="99"/>
    <w:semiHidden/>
    <w:unhideWhenUsed/>
    <w:rsid w:val="00EE564F"/>
    <w:rPr>
      <w:sz w:val="16"/>
      <w:szCs w:val="16"/>
    </w:rPr>
  </w:style>
  <w:style w:type="paragraph" w:styleId="CommentText">
    <w:name w:val="annotation text"/>
    <w:basedOn w:val="Normal"/>
    <w:link w:val="CommentTextChar"/>
    <w:uiPriority w:val="99"/>
    <w:semiHidden/>
    <w:unhideWhenUsed/>
    <w:rsid w:val="00EE564F"/>
    <w:pPr>
      <w:spacing w:line="240" w:lineRule="auto"/>
    </w:pPr>
    <w:rPr>
      <w:sz w:val="20"/>
      <w:szCs w:val="20"/>
    </w:rPr>
  </w:style>
  <w:style w:type="character" w:customStyle="1" w:styleId="CommentTextChar">
    <w:name w:val="Comment Text Char"/>
    <w:basedOn w:val="DefaultParagraphFont"/>
    <w:link w:val="CommentText"/>
    <w:uiPriority w:val="99"/>
    <w:semiHidden/>
    <w:rsid w:val="00EE564F"/>
    <w:rPr>
      <w:sz w:val="20"/>
      <w:szCs w:val="20"/>
    </w:rPr>
  </w:style>
  <w:style w:type="paragraph" w:styleId="CommentSubject">
    <w:name w:val="annotation subject"/>
    <w:basedOn w:val="CommentText"/>
    <w:next w:val="CommentText"/>
    <w:link w:val="CommentSubjectChar"/>
    <w:uiPriority w:val="99"/>
    <w:semiHidden/>
    <w:unhideWhenUsed/>
    <w:rsid w:val="00EE564F"/>
    <w:rPr>
      <w:b/>
      <w:bCs/>
    </w:rPr>
  </w:style>
  <w:style w:type="character" w:customStyle="1" w:styleId="CommentSubjectChar">
    <w:name w:val="Comment Subject Char"/>
    <w:basedOn w:val="CommentTextChar"/>
    <w:link w:val="CommentSubject"/>
    <w:uiPriority w:val="99"/>
    <w:semiHidden/>
    <w:rsid w:val="00EE564F"/>
    <w:rPr>
      <w:b/>
      <w:bCs/>
      <w:sz w:val="20"/>
      <w:szCs w:val="20"/>
    </w:rPr>
  </w:style>
  <w:style w:type="paragraph" w:styleId="BalloonText">
    <w:name w:val="Balloon Text"/>
    <w:basedOn w:val="Normal"/>
    <w:link w:val="BalloonTextChar"/>
    <w:uiPriority w:val="99"/>
    <w:semiHidden/>
    <w:unhideWhenUsed/>
    <w:rsid w:val="00EE5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4F"/>
    <w:rPr>
      <w:rFonts w:ascii="Tahoma" w:hAnsi="Tahoma" w:cs="Tahoma"/>
      <w:sz w:val="16"/>
      <w:szCs w:val="16"/>
    </w:rPr>
  </w:style>
  <w:style w:type="paragraph" w:styleId="FootnoteText">
    <w:name w:val="footnote text"/>
    <w:basedOn w:val="Normal"/>
    <w:link w:val="FootnoteTextChar"/>
    <w:uiPriority w:val="99"/>
    <w:semiHidden/>
    <w:unhideWhenUsed/>
    <w:rsid w:val="00C93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F84"/>
    <w:rPr>
      <w:sz w:val="20"/>
      <w:szCs w:val="20"/>
    </w:rPr>
  </w:style>
  <w:style w:type="character" w:styleId="FootnoteReference">
    <w:name w:val="footnote reference"/>
    <w:basedOn w:val="DefaultParagraphFont"/>
    <w:uiPriority w:val="99"/>
    <w:semiHidden/>
    <w:unhideWhenUsed/>
    <w:rsid w:val="00C93F84"/>
    <w:rPr>
      <w:vertAlign w:val="superscript"/>
    </w:rPr>
  </w:style>
  <w:style w:type="character" w:customStyle="1" w:styleId="newsfrancedetailcontent">
    <w:name w:val="news_france_detail_content"/>
    <w:basedOn w:val="DefaultParagraphFont"/>
    <w:rsid w:val="00EF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BF444-2AB9-4D75-965F-85924642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Zaigham</dc:creator>
  <cp:lastModifiedBy>Zaigham</cp:lastModifiedBy>
  <cp:revision>2</cp:revision>
  <dcterms:created xsi:type="dcterms:W3CDTF">2012-08-18T03:31:00Z</dcterms:created>
  <dcterms:modified xsi:type="dcterms:W3CDTF">2012-08-18T03:31:00Z</dcterms:modified>
</cp:coreProperties>
</file>