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63CF2" w14:textId="2C242F7B" w:rsidR="00F80647" w:rsidRDefault="00F80647" w:rsidP="00E52E4F">
      <w:pPr>
        <w:spacing w:line="276" w:lineRule="auto"/>
        <w:jc w:val="center"/>
        <w:rPr>
          <w:b/>
          <w:lang w:val="en-US"/>
        </w:rPr>
      </w:pPr>
      <w:bookmarkStart w:id="0" w:name="_GoBack"/>
      <w:bookmarkEnd w:id="0"/>
      <w:proofErr w:type="gramStart"/>
      <w:r w:rsidRPr="00FD6E17">
        <w:rPr>
          <w:b/>
          <w:lang w:val="en-US"/>
        </w:rPr>
        <w:t xml:space="preserve">Indonesia </w:t>
      </w:r>
      <w:r w:rsidR="00853832" w:rsidRPr="00FD6E17">
        <w:rPr>
          <w:b/>
          <w:lang w:val="en-US"/>
        </w:rPr>
        <w:t xml:space="preserve">2011 </w:t>
      </w:r>
      <w:r w:rsidRPr="00FD6E17">
        <w:rPr>
          <w:b/>
          <w:lang w:val="en-US"/>
        </w:rPr>
        <w:t xml:space="preserve">Housing </w:t>
      </w:r>
      <w:r w:rsidR="00853832" w:rsidRPr="00FD6E17">
        <w:rPr>
          <w:b/>
          <w:lang w:val="en-US"/>
        </w:rPr>
        <w:t>Reports.</w:t>
      </w:r>
      <w:proofErr w:type="gramEnd"/>
      <w:r w:rsidR="00853832" w:rsidRPr="00FD6E17">
        <w:rPr>
          <w:b/>
          <w:lang w:val="en-US"/>
        </w:rPr>
        <w:t xml:space="preserve">  Housing </w:t>
      </w:r>
      <w:r w:rsidRPr="00FD6E17">
        <w:rPr>
          <w:b/>
          <w:lang w:val="en-US"/>
        </w:rPr>
        <w:t xml:space="preserve">finance </w:t>
      </w:r>
      <w:r w:rsidR="00853832" w:rsidRPr="00FD6E17">
        <w:rPr>
          <w:b/>
          <w:lang w:val="en-US"/>
        </w:rPr>
        <w:t>chapter</w:t>
      </w:r>
    </w:p>
    <w:p w14:paraId="3EDE851F" w14:textId="77777777" w:rsidR="00853832" w:rsidRDefault="00853832" w:rsidP="00E52E4F">
      <w:pPr>
        <w:spacing w:line="276" w:lineRule="auto"/>
        <w:jc w:val="center"/>
        <w:rPr>
          <w:b/>
          <w:lang w:val="en-US"/>
        </w:rPr>
      </w:pPr>
    </w:p>
    <w:p w14:paraId="79A5DBC9" w14:textId="77777777" w:rsidR="00853832" w:rsidRPr="00FD6E17" w:rsidRDefault="00853832" w:rsidP="00E52E4F">
      <w:pPr>
        <w:spacing w:line="276" w:lineRule="auto"/>
        <w:jc w:val="center"/>
        <w:rPr>
          <w:b/>
          <w:lang w:val="en-US"/>
        </w:rPr>
      </w:pPr>
    </w:p>
    <w:p w14:paraId="4B5CE329" w14:textId="77777777" w:rsidR="00212C79" w:rsidRPr="003D3DF2" w:rsidRDefault="00212C79" w:rsidP="00E52E4F">
      <w:pPr>
        <w:spacing w:line="276" w:lineRule="auto"/>
        <w:rPr>
          <w:lang w:val="en-US"/>
        </w:rPr>
      </w:pPr>
    </w:p>
    <w:p w14:paraId="45836E2A" w14:textId="033E46D9" w:rsidR="00255A7C" w:rsidRPr="0082142D" w:rsidRDefault="00255A7C" w:rsidP="00E52E4F">
      <w:pPr>
        <w:spacing w:line="276" w:lineRule="auto"/>
        <w:rPr>
          <w:b/>
          <w:lang w:val="en-US"/>
        </w:rPr>
      </w:pPr>
      <w:r w:rsidRPr="0082142D">
        <w:rPr>
          <w:b/>
          <w:lang w:val="en-US"/>
        </w:rPr>
        <w:t>INTRO</w:t>
      </w:r>
      <w:r w:rsidR="005B411D" w:rsidRPr="0082142D">
        <w:rPr>
          <w:b/>
          <w:lang w:val="en-US"/>
        </w:rPr>
        <w:t>D</w:t>
      </w:r>
      <w:r w:rsidRPr="0082142D">
        <w:rPr>
          <w:b/>
          <w:lang w:val="en-US"/>
        </w:rPr>
        <w:t>U</w:t>
      </w:r>
      <w:r w:rsidR="005B411D" w:rsidRPr="0082142D">
        <w:rPr>
          <w:b/>
          <w:lang w:val="en-US"/>
        </w:rPr>
        <w:t>C</w:t>
      </w:r>
      <w:r w:rsidRPr="0082142D">
        <w:rPr>
          <w:b/>
          <w:lang w:val="en-US"/>
        </w:rPr>
        <w:t>TION</w:t>
      </w:r>
    </w:p>
    <w:p w14:paraId="5E262C07" w14:textId="77777777" w:rsidR="00255A7C" w:rsidRPr="005B411D" w:rsidRDefault="00255A7C" w:rsidP="00E52E4F">
      <w:pPr>
        <w:spacing w:line="276" w:lineRule="auto"/>
        <w:rPr>
          <w:lang w:val="en-US"/>
        </w:rPr>
      </w:pPr>
    </w:p>
    <w:p w14:paraId="79740286" w14:textId="75D79388" w:rsidR="00FB2A70" w:rsidRPr="00DB6BD5" w:rsidRDefault="00255A7C" w:rsidP="00E52E4F">
      <w:pPr>
        <w:spacing w:line="276" w:lineRule="auto"/>
        <w:rPr>
          <w:lang w:val="en-US"/>
        </w:rPr>
      </w:pPr>
      <w:r w:rsidRPr="00F413CA">
        <w:rPr>
          <w:lang w:val="en-US"/>
        </w:rPr>
        <w:t>The purpose of this paper is to assist the Government of Indonesia (</w:t>
      </w:r>
      <w:proofErr w:type="spellStart"/>
      <w:r w:rsidRPr="00F413CA">
        <w:rPr>
          <w:lang w:val="en-US"/>
        </w:rPr>
        <w:t>GoI</w:t>
      </w:r>
      <w:proofErr w:type="spellEnd"/>
      <w:r w:rsidRPr="00F413CA">
        <w:rPr>
          <w:lang w:val="en-US"/>
        </w:rPr>
        <w:t xml:space="preserve">) in utilizing housing finance to create housing opportunities in the country. </w:t>
      </w:r>
      <w:r w:rsidR="00FB2A70" w:rsidRPr="009975A1">
        <w:rPr>
          <w:lang w:val="en-US"/>
        </w:rPr>
        <w:t xml:space="preserve"> In short, it notes that while progress has been made in Indonesia, there are still obstacles to a vibrant mortgage finance sector, particularly for </w:t>
      </w:r>
      <w:r w:rsidR="00FB2A70" w:rsidRPr="008A3C06">
        <w:rPr>
          <w:lang w:val="en-US"/>
        </w:rPr>
        <w:t xml:space="preserve">families </w:t>
      </w:r>
      <w:r w:rsidR="00FB2A70" w:rsidRPr="00DB6BD5">
        <w:rPr>
          <w:lang w:val="en-US"/>
        </w:rPr>
        <w:t>of low and moderate means</w:t>
      </w:r>
      <w:r w:rsidR="00CA3C3F">
        <w:rPr>
          <w:lang w:val="en-US"/>
        </w:rPr>
        <w:t xml:space="preserve"> and /or active in the informal economic sector</w:t>
      </w:r>
      <w:r w:rsidR="00FB2A70" w:rsidRPr="00DB6BD5">
        <w:rPr>
          <w:lang w:val="en-US"/>
        </w:rPr>
        <w:t>.</w:t>
      </w:r>
    </w:p>
    <w:p w14:paraId="7291C3CA" w14:textId="77777777" w:rsidR="00FB2A70" w:rsidRPr="00B10831" w:rsidRDefault="00FB2A70" w:rsidP="00E52E4F">
      <w:pPr>
        <w:spacing w:line="276" w:lineRule="auto"/>
        <w:rPr>
          <w:lang w:val="en-US"/>
        </w:rPr>
      </w:pPr>
    </w:p>
    <w:p w14:paraId="5D1118FD" w14:textId="0CC2AA87" w:rsidR="00255A7C" w:rsidRDefault="00255A7C" w:rsidP="00E52E4F">
      <w:pPr>
        <w:spacing w:line="276" w:lineRule="auto"/>
        <w:rPr>
          <w:lang w:val="en-US"/>
        </w:rPr>
      </w:pPr>
      <w:r w:rsidRPr="00A57F20">
        <w:rPr>
          <w:lang w:val="en-US"/>
        </w:rPr>
        <w:t xml:space="preserve"> It will make the following </w:t>
      </w:r>
      <w:r w:rsidR="00CA3C3F">
        <w:rPr>
          <w:lang w:val="en-US"/>
        </w:rPr>
        <w:t xml:space="preserve">main </w:t>
      </w:r>
      <w:r w:rsidRPr="00A57F20">
        <w:rPr>
          <w:lang w:val="en-US"/>
        </w:rPr>
        <w:t>recommendations:</w:t>
      </w:r>
    </w:p>
    <w:p w14:paraId="2314ADF9" w14:textId="55CAC274" w:rsidR="00CA3C3F" w:rsidRDefault="00CA3C3F" w:rsidP="00CA3C3F">
      <w:pPr>
        <w:pStyle w:val="ListParagraph"/>
        <w:numPr>
          <w:ilvl w:val="0"/>
          <w:numId w:val="45"/>
        </w:numPr>
        <w:spacing w:line="276" w:lineRule="auto"/>
        <w:rPr>
          <w:lang w:val="en-US"/>
        </w:rPr>
      </w:pPr>
      <w:r>
        <w:rPr>
          <w:lang w:val="en-US"/>
        </w:rPr>
        <w:t>Develop voluntary savings for housing schemes</w:t>
      </w:r>
    </w:p>
    <w:p w14:paraId="5E92C08B" w14:textId="7B06FC57" w:rsidR="00CA3C3F" w:rsidRDefault="00CA3C3F" w:rsidP="00CA3C3F">
      <w:pPr>
        <w:pStyle w:val="ListParagraph"/>
        <w:numPr>
          <w:ilvl w:val="0"/>
          <w:numId w:val="45"/>
        </w:numPr>
        <w:spacing w:line="276" w:lineRule="auto"/>
        <w:rPr>
          <w:lang w:val="en-US"/>
        </w:rPr>
      </w:pPr>
      <w:r>
        <w:rPr>
          <w:lang w:val="en-US"/>
        </w:rPr>
        <w:t>Enhance PT-SMF ‘s role: better support alternative lenders, provide short term collateralized liquidity support, act as a quality standard setter for securitization structures and market</w:t>
      </w:r>
    </w:p>
    <w:p w14:paraId="0FACBAF7" w14:textId="7C6BB8C1" w:rsidR="00CA3C3F" w:rsidRDefault="00CA3C3F" w:rsidP="00CA3C3F">
      <w:pPr>
        <w:pStyle w:val="ListParagraph"/>
        <w:numPr>
          <w:ilvl w:val="0"/>
          <w:numId w:val="45"/>
        </w:numPr>
        <w:spacing w:line="276" w:lineRule="auto"/>
        <w:rPr>
          <w:lang w:val="en-US"/>
        </w:rPr>
      </w:pPr>
      <w:r>
        <w:rPr>
          <w:lang w:val="en-US"/>
        </w:rPr>
        <w:t>Strengthen alternative lenders’ capacities</w:t>
      </w:r>
    </w:p>
    <w:p w14:paraId="7B905E5D" w14:textId="529A4AC5" w:rsidR="00CA3C3F" w:rsidRDefault="00CA3C3F" w:rsidP="00CA3C3F">
      <w:pPr>
        <w:pStyle w:val="ListParagraph"/>
        <w:numPr>
          <w:ilvl w:val="0"/>
          <w:numId w:val="45"/>
        </w:numPr>
        <w:spacing w:line="276" w:lineRule="auto"/>
        <w:rPr>
          <w:lang w:val="en-US"/>
        </w:rPr>
      </w:pPr>
      <w:r>
        <w:rPr>
          <w:lang w:val="en-US"/>
        </w:rPr>
        <w:t>Consider a risk sharing scheme for housing loans to low income, informal sector borrowers</w:t>
      </w:r>
    </w:p>
    <w:p w14:paraId="719A029A" w14:textId="7CC1821A" w:rsidR="00255A7C" w:rsidRPr="0082142D" w:rsidRDefault="00CA3C3F" w:rsidP="0082142D">
      <w:pPr>
        <w:pStyle w:val="ListParagraph"/>
        <w:numPr>
          <w:ilvl w:val="0"/>
          <w:numId w:val="45"/>
        </w:numPr>
        <w:spacing w:line="276" w:lineRule="auto"/>
        <w:rPr>
          <w:lang w:val="en-US"/>
        </w:rPr>
      </w:pPr>
      <w:r>
        <w:rPr>
          <w:lang w:val="en-US"/>
        </w:rPr>
        <w:t xml:space="preserve">Use the new “liquidity facility” FLPP to </w:t>
      </w:r>
      <w:r w:rsidR="0082142D">
        <w:rPr>
          <w:lang w:val="en-US"/>
        </w:rPr>
        <w:t>improve the economic and social efficiency of lending within government assistance programs</w:t>
      </w:r>
    </w:p>
    <w:p w14:paraId="61893F98" w14:textId="77777777" w:rsidR="00255A7C" w:rsidRPr="00F53D13" w:rsidRDefault="00255A7C" w:rsidP="00E52E4F">
      <w:pPr>
        <w:spacing w:line="276" w:lineRule="auto"/>
        <w:rPr>
          <w:lang w:val="en-US"/>
        </w:rPr>
      </w:pPr>
    </w:p>
    <w:p w14:paraId="69599643" w14:textId="77777777" w:rsidR="00255A7C" w:rsidRPr="005D6B65" w:rsidRDefault="00255A7C" w:rsidP="00E52E4F">
      <w:pPr>
        <w:spacing w:line="276" w:lineRule="auto"/>
        <w:rPr>
          <w:lang w:val="en-US"/>
        </w:rPr>
      </w:pPr>
    </w:p>
    <w:p w14:paraId="2CE685B2" w14:textId="77777777" w:rsidR="00255A7C" w:rsidRPr="00934AF5" w:rsidRDefault="00255A7C" w:rsidP="00E52E4F">
      <w:pPr>
        <w:spacing w:line="276" w:lineRule="auto"/>
        <w:rPr>
          <w:lang w:val="en-US"/>
        </w:rPr>
      </w:pPr>
    </w:p>
    <w:p w14:paraId="22A3D316" w14:textId="0D763ED7" w:rsidR="00255A7C" w:rsidRPr="0082142D" w:rsidRDefault="00255A7C" w:rsidP="00E52E4F">
      <w:pPr>
        <w:spacing w:line="276" w:lineRule="auto"/>
        <w:rPr>
          <w:b/>
          <w:lang w:val="en-US"/>
        </w:rPr>
      </w:pPr>
      <w:r w:rsidRPr="0082142D">
        <w:rPr>
          <w:b/>
          <w:lang w:val="en-US"/>
        </w:rPr>
        <w:t xml:space="preserve">MARKET </w:t>
      </w:r>
      <w:r w:rsidR="00212C79" w:rsidRPr="0082142D">
        <w:rPr>
          <w:b/>
          <w:lang w:val="en-US"/>
        </w:rPr>
        <w:t>OVERVIEW</w:t>
      </w:r>
      <w:r w:rsidR="00EC3BF6" w:rsidRPr="0082142D">
        <w:rPr>
          <w:b/>
          <w:lang w:val="en-US"/>
        </w:rPr>
        <w:t xml:space="preserve"> AND EVALUATION</w:t>
      </w:r>
    </w:p>
    <w:p w14:paraId="01E5A92B" w14:textId="77777777" w:rsidR="00212C79" w:rsidRPr="00DE0FEE" w:rsidRDefault="00212C79" w:rsidP="00E52E4F">
      <w:pPr>
        <w:spacing w:line="276" w:lineRule="auto"/>
        <w:rPr>
          <w:lang w:val="en-US"/>
        </w:rPr>
      </w:pPr>
    </w:p>
    <w:p w14:paraId="6297969C" w14:textId="3640E551" w:rsidR="00F440D6" w:rsidRPr="00E52E4F" w:rsidRDefault="006B40D9" w:rsidP="00E52E4F">
      <w:pPr>
        <w:numPr>
          <w:ilvl w:val="0"/>
          <w:numId w:val="35"/>
        </w:numPr>
        <w:spacing w:line="276" w:lineRule="auto"/>
        <w:ind w:left="0" w:firstLine="0"/>
        <w:rPr>
          <w:b/>
          <w:lang w:val="en-US"/>
        </w:rPr>
      </w:pPr>
      <w:r w:rsidRPr="00E52E4F">
        <w:rPr>
          <w:b/>
          <w:lang w:val="en-US"/>
        </w:rPr>
        <w:t>The market size still lags the overall economic development</w:t>
      </w:r>
    </w:p>
    <w:p w14:paraId="6C79BD28" w14:textId="7C405619" w:rsidR="00965563" w:rsidRPr="00EC3BF6" w:rsidRDefault="00F440D6" w:rsidP="00E52E4F">
      <w:pPr>
        <w:spacing w:after="240" w:line="276" w:lineRule="auto"/>
        <w:rPr>
          <w:lang w:val="en-US"/>
        </w:rPr>
      </w:pPr>
      <w:r w:rsidRPr="00853832">
        <w:rPr>
          <w:lang w:val="en-US"/>
        </w:rPr>
        <w:t xml:space="preserve">Residential mortgage loans </w:t>
      </w:r>
      <w:r w:rsidR="00EE40BF" w:rsidRPr="00853832">
        <w:rPr>
          <w:lang w:val="en-US"/>
        </w:rPr>
        <w:t xml:space="preserve">have been </w:t>
      </w:r>
      <w:r w:rsidR="007A4BCE" w:rsidRPr="00853832">
        <w:rPr>
          <w:lang w:val="en-US"/>
        </w:rPr>
        <w:t>increasing</w:t>
      </w:r>
      <w:r w:rsidR="00EE40BF" w:rsidRPr="00853832">
        <w:rPr>
          <w:lang w:val="en-US"/>
        </w:rPr>
        <w:t xml:space="preserve"> very fast in Indonesia –between 20% and 40% </w:t>
      </w:r>
      <w:r w:rsidR="00955EBA" w:rsidRPr="00853832">
        <w:rPr>
          <w:lang w:val="en-US"/>
        </w:rPr>
        <w:t>per annum</w:t>
      </w:r>
      <w:r w:rsidR="00EE40BF" w:rsidRPr="00853832">
        <w:rPr>
          <w:lang w:val="en-US"/>
        </w:rPr>
        <w:t xml:space="preserve">. </w:t>
      </w:r>
      <w:proofErr w:type="gramStart"/>
      <w:r w:rsidR="00EC3BF6">
        <w:rPr>
          <w:lang w:val="en-US"/>
        </w:rPr>
        <w:t>b</w:t>
      </w:r>
      <w:r w:rsidR="009A6516" w:rsidRPr="00853832">
        <w:rPr>
          <w:lang w:val="en-US"/>
        </w:rPr>
        <w:t>etween</w:t>
      </w:r>
      <w:proofErr w:type="gramEnd"/>
      <w:r w:rsidR="009A6516" w:rsidRPr="00853832">
        <w:rPr>
          <w:lang w:val="en-US"/>
        </w:rPr>
        <w:t xml:space="preserve"> 2005 and 2010, outpacing the already strong growth of the overall credit supply</w:t>
      </w:r>
      <w:r w:rsidR="006B40D9" w:rsidRPr="00853832">
        <w:rPr>
          <w:lang w:val="en-US"/>
        </w:rPr>
        <w:t xml:space="preserve">, </w:t>
      </w:r>
      <w:r w:rsidR="00EC3BF6">
        <w:rPr>
          <w:lang w:val="en-US"/>
        </w:rPr>
        <w:t xml:space="preserve">and </w:t>
      </w:r>
      <w:r w:rsidR="006B40D9" w:rsidRPr="00853832">
        <w:rPr>
          <w:lang w:val="en-US"/>
        </w:rPr>
        <w:t xml:space="preserve">reaching </w:t>
      </w:r>
      <w:r w:rsidR="00A83CBE" w:rsidRPr="00853832">
        <w:rPr>
          <w:lang w:val="en-US"/>
        </w:rPr>
        <w:t>close to 9</w:t>
      </w:r>
      <w:r w:rsidR="006B40D9" w:rsidRPr="00853832">
        <w:rPr>
          <w:lang w:val="en-US"/>
        </w:rPr>
        <w:t>% of total bank portfolios in 2010.</w:t>
      </w:r>
      <w:r w:rsidR="009A6516" w:rsidRPr="00853832">
        <w:rPr>
          <w:lang w:val="en-US"/>
        </w:rPr>
        <w:t xml:space="preserve">.  </w:t>
      </w:r>
      <w:r w:rsidR="00D162B0" w:rsidRPr="00853832">
        <w:rPr>
          <w:lang w:val="en-US"/>
        </w:rPr>
        <w:t>Relatively to the size of the economy, however, the</w:t>
      </w:r>
      <w:r w:rsidR="00C66B50" w:rsidRPr="00853832">
        <w:rPr>
          <w:lang w:val="en-US"/>
        </w:rPr>
        <w:t xml:space="preserve"> volume of housing loans outstanding</w:t>
      </w:r>
      <w:r w:rsidR="00D162B0" w:rsidRPr="00853832">
        <w:rPr>
          <w:lang w:val="en-US"/>
        </w:rPr>
        <w:t xml:space="preserve">, </w:t>
      </w:r>
      <w:r w:rsidR="00813220" w:rsidRPr="00853832">
        <w:rPr>
          <w:lang w:val="en-US"/>
        </w:rPr>
        <w:t xml:space="preserve">estimated to amount to   </w:t>
      </w:r>
      <w:r w:rsidR="00D162B0" w:rsidRPr="00853832">
        <w:rPr>
          <w:lang w:val="en-US"/>
        </w:rPr>
        <w:t xml:space="preserve">IDR </w:t>
      </w:r>
      <w:r w:rsidR="00813220" w:rsidRPr="00853832">
        <w:rPr>
          <w:lang w:val="en-US"/>
        </w:rPr>
        <w:t xml:space="preserve">150 </w:t>
      </w:r>
      <w:r w:rsidR="00D162B0" w:rsidRPr="00853832">
        <w:rPr>
          <w:lang w:val="en-US"/>
        </w:rPr>
        <w:t xml:space="preserve">trillion in September </w:t>
      </w:r>
      <w:r w:rsidR="00813220" w:rsidRPr="00853832">
        <w:rPr>
          <w:lang w:val="en-US"/>
        </w:rPr>
        <w:t>2010</w:t>
      </w:r>
      <w:proofErr w:type="gramStart"/>
      <w:r w:rsidR="00D162B0" w:rsidRPr="00853832">
        <w:rPr>
          <w:lang w:val="en-US"/>
        </w:rPr>
        <w:t>,</w:t>
      </w:r>
      <w:r w:rsidR="00C66B50" w:rsidRPr="00853832">
        <w:rPr>
          <w:lang w:val="en-US"/>
        </w:rPr>
        <w:t xml:space="preserve"> </w:t>
      </w:r>
      <w:r w:rsidR="00D162B0" w:rsidRPr="00853832">
        <w:rPr>
          <w:lang w:val="en-US"/>
        </w:rPr>
        <w:t xml:space="preserve"> still</w:t>
      </w:r>
      <w:proofErr w:type="gramEnd"/>
      <w:r w:rsidR="00D162B0" w:rsidRPr="00853832">
        <w:rPr>
          <w:lang w:val="en-US"/>
        </w:rPr>
        <w:t xml:space="preserve"> </w:t>
      </w:r>
      <w:r w:rsidR="00813220" w:rsidRPr="00853832">
        <w:rPr>
          <w:lang w:val="en-US"/>
        </w:rPr>
        <w:t xml:space="preserve">represents a low 2.3% of GDP, </w:t>
      </w:r>
      <w:r w:rsidR="00D162B0" w:rsidRPr="00853832">
        <w:rPr>
          <w:lang w:val="en-US"/>
        </w:rPr>
        <w:t>below the pre</w:t>
      </w:r>
      <w:r w:rsidR="00C66B50" w:rsidRPr="00EC3BF6">
        <w:rPr>
          <w:lang w:val="en-US"/>
        </w:rPr>
        <w:t>-</w:t>
      </w:r>
      <w:r w:rsidR="00D162B0" w:rsidRPr="00EC3BF6">
        <w:rPr>
          <w:lang w:val="en-US"/>
        </w:rPr>
        <w:t xml:space="preserve"> 1997 </w:t>
      </w:r>
      <w:r w:rsidR="00C66B50" w:rsidRPr="00EC3BF6">
        <w:rPr>
          <w:lang w:val="en-US"/>
        </w:rPr>
        <w:t>crisis level (3.1%)</w:t>
      </w:r>
      <w:r w:rsidR="00813220" w:rsidRPr="00EC3BF6">
        <w:rPr>
          <w:lang w:val="en-US"/>
        </w:rPr>
        <w:t>.</w:t>
      </w:r>
      <w:r w:rsidR="00965563" w:rsidRPr="00EC3BF6">
        <w:rPr>
          <w:lang w:val="en-US"/>
        </w:rPr>
        <w:t xml:space="preserve">. </w:t>
      </w:r>
    </w:p>
    <w:p w14:paraId="4FDC4052" w14:textId="77777777" w:rsidR="006B40D9" w:rsidRPr="008A3C06" w:rsidRDefault="006B40D9" w:rsidP="00E52E4F">
      <w:pPr>
        <w:numPr>
          <w:ilvl w:val="0"/>
          <w:numId w:val="35"/>
        </w:numPr>
        <w:spacing w:line="276" w:lineRule="auto"/>
        <w:ind w:left="0" w:firstLine="0"/>
        <w:rPr>
          <w:lang w:val="en-US"/>
        </w:rPr>
      </w:pPr>
      <w:r w:rsidRPr="00EC3BF6">
        <w:rPr>
          <w:b/>
          <w:lang w:val="en-US"/>
        </w:rPr>
        <w:t xml:space="preserve">A </w:t>
      </w:r>
      <w:r w:rsidRPr="00E52E4F">
        <w:rPr>
          <w:b/>
          <w:lang w:val="en-US"/>
        </w:rPr>
        <w:t>costly financial</w:t>
      </w:r>
      <w:r w:rsidRPr="003D3DF2">
        <w:rPr>
          <w:b/>
          <w:lang w:val="en-US"/>
        </w:rPr>
        <w:t xml:space="preserve"> service</w:t>
      </w:r>
      <w:r w:rsidRPr="005B411D">
        <w:rPr>
          <w:b/>
          <w:lang w:val="en-US"/>
        </w:rPr>
        <w:t xml:space="preserve">, </w:t>
      </w:r>
      <w:r w:rsidR="00690333" w:rsidRPr="005B411D">
        <w:rPr>
          <w:b/>
          <w:lang w:val="en-US"/>
        </w:rPr>
        <w:t>inaccessible</w:t>
      </w:r>
      <w:r w:rsidRPr="00F413CA">
        <w:rPr>
          <w:b/>
          <w:lang w:val="en-US"/>
        </w:rPr>
        <w:t xml:space="preserve"> to large s</w:t>
      </w:r>
      <w:r w:rsidR="00690333" w:rsidRPr="009975A1">
        <w:rPr>
          <w:b/>
          <w:lang w:val="en-US"/>
        </w:rPr>
        <w:t>e</w:t>
      </w:r>
      <w:r w:rsidRPr="009975A1">
        <w:rPr>
          <w:b/>
          <w:lang w:val="en-US"/>
        </w:rPr>
        <w:t>gments of the population</w:t>
      </w:r>
      <w:r w:rsidRPr="008A3C06">
        <w:rPr>
          <w:b/>
          <w:lang w:val="en-US"/>
        </w:rPr>
        <w:t xml:space="preserve"> </w:t>
      </w:r>
    </w:p>
    <w:p w14:paraId="408F67AA" w14:textId="38D493CA" w:rsidR="00955EBA" w:rsidRPr="00B10831" w:rsidRDefault="00965563" w:rsidP="00E52E4F">
      <w:pPr>
        <w:spacing w:line="276" w:lineRule="auto"/>
        <w:rPr>
          <w:lang w:val="en-US"/>
        </w:rPr>
      </w:pPr>
      <w:r w:rsidRPr="0029780C">
        <w:rPr>
          <w:lang w:val="en-US"/>
        </w:rPr>
        <w:t>M</w:t>
      </w:r>
      <w:r w:rsidR="007A4BCE" w:rsidRPr="0029780C">
        <w:rPr>
          <w:lang w:val="en-US"/>
        </w:rPr>
        <w:t xml:space="preserve">ost of the commercial banks </w:t>
      </w:r>
      <w:r w:rsidR="00D162B0" w:rsidRPr="0029780C">
        <w:rPr>
          <w:lang w:val="en-US"/>
        </w:rPr>
        <w:t xml:space="preserve">now </w:t>
      </w:r>
      <w:r w:rsidR="007A4BCE" w:rsidRPr="0029780C">
        <w:rPr>
          <w:lang w:val="en-US"/>
        </w:rPr>
        <w:t xml:space="preserve">offer housing finance products, and </w:t>
      </w:r>
      <w:r w:rsidR="00816CF3" w:rsidRPr="0029780C">
        <w:rPr>
          <w:lang w:val="en-US"/>
        </w:rPr>
        <w:t xml:space="preserve">in the middle and upper segments of the </w:t>
      </w:r>
      <w:r w:rsidR="003D3DF2" w:rsidRPr="0029780C">
        <w:rPr>
          <w:lang w:val="en-US"/>
        </w:rPr>
        <w:t>market, the</w:t>
      </w:r>
      <w:r w:rsidR="007A4BCE" w:rsidRPr="0029780C">
        <w:rPr>
          <w:lang w:val="en-US"/>
        </w:rPr>
        <w:t xml:space="preserve"> degree of competition is high</w:t>
      </w:r>
      <w:r w:rsidR="00D162B0" w:rsidRPr="0029780C">
        <w:rPr>
          <w:lang w:val="en-US"/>
        </w:rPr>
        <w:t xml:space="preserve"> </w:t>
      </w:r>
      <w:r w:rsidR="00816CF3" w:rsidRPr="0029780C">
        <w:rPr>
          <w:lang w:val="en-US"/>
        </w:rPr>
        <w:t xml:space="preserve">It is however </w:t>
      </w:r>
      <w:r w:rsidR="00D162B0" w:rsidRPr="0029780C">
        <w:rPr>
          <w:lang w:val="en-US"/>
        </w:rPr>
        <w:t>more evidenced by the struggle to control distribution channels</w:t>
      </w:r>
      <w:r w:rsidR="00955EBA" w:rsidRPr="0029780C">
        <w:rPr>
          <w:lang w:val="en-US"/>
        </w:rPr>
        <w:t>,</w:t>
      </w:r>
      <w:r w:rsidR="00D162B0" w:rsidRPr="0029780C">
        <w:rPr>
          <w:lang w:val="en-US"/>
        </w:rPr>
        <w:t xml:space="preserve"> </w:t>
      </w:r>
      <w:r w:rsidR="00955EBA" w:rsidRPr="0029780C">
        <w:rPr>
          <w:lang w:val="en-US"/>
        </w:rPr>
        <w:t xml:space="preserve">such as </w:t>
      </w:r>
      <w:r w:rsidR="00D162B0" w:rsidRPr="0029780C">
        <w:rPr>
          <w:lang w:val="en-US"/>
        </w:rPr>
        <w:t>developers</w:t>
      </w:r>
      <w:r w:rsidR="00955EBA" w:rsidRPr="0029780C">
        <w:rPr>
          <w:lang w:val="en-US"/>
        </w:rPr>
        <w:t>,</w:t>
      </w:r>
      <w:r w:rsidR="00D162B0" w:rsidRPr="0029780C">
        <w:rPr>
          <w:lang w:val="en-US"/>
        </w:rPr>
        <w:t xml:space="preserve"> than by a decrease of intermediation margins</w:t>
      </w:r>
      <w:r w:rsidR="00816CF3" w:rsidRPr="0029780C">
        <w:rPr>
          <w:lang w:val="en-US"/>
        </w:rPr>
        <w:t xml:space="preserve">, which remain at the high level. </w:t>
      </w:r>
      <w:r w:rsidR="00563486" w:rsidRPr="0029780C">
        <w:rPr>
          <w:lang w:val="en-US"/>
        </w:rPr>
        <w:t xml:space="preserve">Given that lenders </w:t>
      </w:r>
      <w:r w:rsidR="00563486" w:rsidRPr="0029780C">
        <w:rPr>
          <w:lang w:val="en-US"/>
        </w:rPr>
        <w:lastRenderedPageBreak/>
        <w:t xml:space="preserve">charge moreover high up-front </w:t>
      </w:r>
      <w:r w:rsidR="00FC00C0" w:rsidRPr="0029780C">
        <w:rPr>
          <w:lang w:val="en-US"/>
        </w:rPr>
        <w:t>origination</w:t>
      </w:r>
      <w:r w:rsidR="00563486" w:rsidRPr="0029780C">
        <w:rPr>
          <w:lang w:val="en-US"/>
        </w:rPr>
        <w:t xml:space="preserve"> fees</w:t>
      </w:r>
      <w:r w:rsidR="00FC00C0" w:rsidRPr="0029780C">
        <w:rPr>
          <w:lang w:val="en-US"/>
        </w:rPr>
        <w:t xml:space="preserve"> and </w:t>
      </w:r>
      <w:r w:rsidR="00FC00C0" w:rsidRPr="00FD6E17">
        <w:rPr>
          <w:lang w:val="en-US"/>
        </w:rPr>
        <w:t>origination fees and require flat insurance premiums (life and property</w:t>
      </w:r>
      <w:r w:rsidR="003D3DF2" w:rsidRPr="00FD6E17">
        <w:rPr>
          <w:lang w:val="en-US"/>
        </w:rPr>
        <w:t>),</w:t>
      </w:r>
      <w:r w:rsidR="00563486" w:rsidRPr="003D3DF2">
        <w:rPr>
          <w:lang w:val="en-US"/>
        </w:rPr>
        <w:t xml:space="preserve"> </w:t>
      </w:r>
      <w:r w:rsidR="003D3DF2" w:rsidRPr="005B411D">
        <w:rPr>
          <w:lang w:val="en-US"/>
        </w:rPr>
        <w:t>the cost</w:t>
      </w:r>
      <w:r w:rsidR="00816CF3" w:rsidRPr="005B411D">
        <w:rPr>
          <w:lang w:val="en-US"/>
        </w:rPr>
        <w:t xml:space="preserve"> </w:t>
      </w:r>
      <w:r w:rsidR="003D3DF2" w:rsidRPr="00F413CA">
        <w:rPr>
          <w:lang w:val="en-US"/>
        </w:rPr>
        <w:t>of housing</w:t>
      </w:r>
      <w:r w:rsidR="00816CF3" w:rsidRPr="009975A1">
        <w:rPr>
          <w:lang w:val="en-US"/>
        </w:rPr>
        <w:t xml:space="preserve"> loans is </w:t>
      </w:r>
      <w:r w:rsidR="00563486" w:rsidRPr="008A3C06">
        <w:rPr>
          <w:lang w:val="en-US"/>
        </w:rPr>
        <w:t>high for consumers</w:t>
      </w:r>
      <w:r w:rsidR="0029780C">
        <w:rPr>
          <w:rStyle w:val="FootnoteReference"/>
          <w:lang w:val="en-US"/>
        </w:rPr>
        <w:footnoteReference w:id="1"/>
      </w:r>
      <w:r w:rsidR="00563486" w:rsidRPr="008A3C06">
        <w:rPr>
          <w:lang w:val="en-US"/>
        </w:rPr>
        <w:t xml:space="preserve">. </w:t>
      </w:r>
    </w:p>
    <w:p w14:paraId="5888C4F7" w14:textId="5F5FF8A0" w:rsidR="00690333" w:rsidRPr="0029780C" w:rsidRDefault="006B40D9" w:rsidP="00E52E4F">
      <w:pPr>
        <w:spacing w:line="276" w:lineRule="auto"/>
        <w:rPr>
          <w:lang w:val="en-US"/>
        </w:rPr>
      </w:pPr>
      <w:r w:rsidRPr="00A57F20">
        <w:rPr>
          <w:lang w:val="en-US"/>
        </w:rPr>
        <w:t xml:space="preserve">In the </w:t>
      </w:r>
      <w:r w:rsidRPr="00B5752B">
        <w:rPr>
          <w:lang w:val="en-US"/>
        </w:rPr>
        <w:t xml:space="preserve">low </w:t>
      </w:r>
      <w:r w:rsidR="003D3DF2" w:rsidRPr="00B5752B">
        <w:rPr>
          <w:lang w:val="en-US"/>
        </w:rPr>
        <w:t>middle-income</w:t>
      </w:r>
      <w:r w:rsidRPr="002B121E">
        <w:rPr>
          <w:lang w:val="en-US"/>
        </w:rPr>
        <w:t xml:space="preserve"> segment, </w:t>
      </w:r>
      <w:r w:rsidR="007A4BCE" w:rsidRPr="0029780C">
        <w:rPr>
          <w:lang w:val="en-US"/>
        </w:rPr>
        <w:t xml:space="preserve">the </w:t>
      </w:r>
      <w:r w:rsidR="00690333" w:rsidRPr="0029780C">
        <w:rPr>
          <w:lang w:val="en-US"/>
        </w:rPr>
        <w:t xml:space="preserve">traditional – but </w:t>
      </w:r>
      <w:r w:rsidR="00EB2735" w:rsidRPr="0029780C">
        <w:rPr>
          <w:lang w:val="en-US"/>
        </w:rPr>
        <w:t>partially privatized</w:t>
      </w:r>
      <w:r w:rsidR="00690333" w:rsidRPr="0029780C">
        <w:rPr>
          <w:lang w:val="en-US"/>
        </w:rPr>
        <w:t>-</w:t>
      </w:r>
      <w:r w:rsidR="00EB2735" w:rsidRPr="0029780C">
        <w:rPr>
          <w:lang w:val="en-US"/>
        </w:rPr>
        <w:t xml:space="preserve"> state housing institution</w:t>
      </w:r>
      <w:proofErr w:type="gramStart"/>
      <w:r w:rsidR="00EB2735" w:rsidRPr="0029780C">
        <w:rPr>
          <w:lang w:val="en-US"/>
        </w:rPr>
        <w:t xml:space="preserve">, </w:t>
      </w:r>
      <w:r w:rsidR="007A4BCE" w:rsidRPr="0029780C">
        <w:rPr>
          <w:lang w:val="en-US"/>
        </w:rPr>
        <w:t xml:space="preserve"> Bank</w:t>
      </w:r>
      <w:proofErr w:type="gramEnd"/>
      <w:r w:rsidR="007A4BCE" w:rsidRPr="0029780C">
        <w:rPr>
          <w:lang w:val="en-US"/>
        </w:rPr>
        <w:t xml:space="preserve"> Tabungan Negara (BTN)</w:t>
      </w:r>
      <w:r w:rsidR="00EB2735" w:rsidRPr="0029780C">
        <w:rPr>
          <w:lang w:val="en-US"/>
        </w:rPr>
        <w:t xml:space="preserve">, has a near monopoly. After a significant loss of market share in the early 2000s, BTN has been experiencing a strong surge of activity since 2007, and with 27% market share nearly regained in 2010 its 2003 relative position. </w:t>
      </w:r>
      <w:r w:rsidR="007A4BCE" w:rsidRPr="0029780C">
        <w:rPr>
          <w:lang w:val="en-US"/>
        </w:rPr>
        <w:t xml:space="preserve"> </w:t>
      </w:r>
      <w:r w:rsidR="00EB2735" w:rsidRPr="0029780C">
        <w:rPr>
          <w:lang w:val="en-US"/>
        </w:rPr>
        <w:t xml:space="preserve">This results from </w:t>
      </w:r>
      <w:r w:rsidR="003D3DF2" w:rsidRPr="0029780C">
        <w:rPr>
          <w:lang w:val="en-US"/>
        </w:rPr>
        <w:t>dominance</w:t>
      </w:r>
      <w:r w:rsidR="00EB2735" w:rsidRPr="0029780C">
        <w:rPr>
          <w:lang w:val="en-US"/>
        </w:rPr>
        <w:t xml:space="preserve"> in the distribution </w:t>
      </w:r>
      <w:r w:rsidR="003D3DF2" w:rsidRPr="0029780C">
        <w:rPr>
          <w:lang w:val="en-US"/>
        </w:rPr>
        <w:t>of subsidized</w:t>
      </w:r>
      <w:r w:rsidR="00EB2735" w:rsidRPr="0029780C">
        <w:rPr>
          <w:lang w:val="en-US"/>
        </w:rPr>
        <w:t xml:space="preserve"> housing loans, 97% of which </w:t>
      </w:r>
      <w:r w:rsidR="00690333" w:rsidRPr="0029780C">
        <w:rPr>
          <w:lang w:val="en-US"/>
        </w:rPr>
        <w:t xml:space="preserve">are made by BTN – only 2 other banks having some presence in this sector. </w:t>
      </w:r>
    </w:p>
    <w:p w14:paraId="1C7150B6" w14:textId="77777777" w:rsidR="00955EBA" w:rsidRPr="005B411D" w:rsidRDefault="00955EBA" w:rsidP="00E52E4F">
      <w:pPr>
        <w:spacing w:line="276" w:lineRule="auto"/>
        <w:rPr>
          <w:lang w:val="en-US"/>
        </w:rPr>
      </w:pPr>
    </w:p>
    <w:p w14:paraId="42321DD3" w14:textId="77777777" w:rsidR="00F40CF5" w:rsidRPr="00F413CA" w:rsidRDefault="00690333" w:rsidP="00E52E4F">
      <w:pPr>
        <w:spacing w:line="276" w:lineRule="auto"/>
        <w:rPr>
          <w:lang w:val="en-US"/>
        </w:rPr>
      </w:pPr>
      <w:r w:rsidRPr="00F413CA">
        <w:rPr>
          <w:lang w:val="en-US"/>
        </w:rPr>
        <w:t xml:space="preserve">All these institutions only serve salaried population </w:t>
      </w:r>
      <w:r w:rsidRPr="009975A1">
        <w:rPr>
          <w:lang w:val="en-US"/>
        </w:rPr>
        <w:t xml:space="preserve">– tax </w:t>
      </w:r>
      <w:r w:rsidRPr="008A3C06">
        <w:rPr>
          <w:lang w:val="en-US"/>
        </w:rPr>
        <w:t xml:space="preserve">returns are required even to benefit </w:t>
      </w:r>
      <w:r w:rsidR="00F40CF5" w:rsidRPr="00DB6BD5">
        <w:rPr>
          <w:lang w:val="en-US"/>
        </w:rPr>
        <w:t>from subsidized</w:t>
      </w:r>
      <w:r w:rsidRPr="00DB6BD5">
        <w:rPr>
          <w:lang w:val="en-US"/>
        </w:rPr>
        <w:t xml:space="preserve"> loans</w:t>
      </w:r>
      <w:r w:rsidRPr="003D3DF2">
        <w:rPr>
          <w:rStyle w:val="FootnoteReference"/>
          <w:lang w:val="en-US"/>
        </w:rPr>
        <w:footnoteReference w:id="2"/>
      </w:r>
      <w:r w:rsidR="00F40CF5" w:rsidRPr="003D3DF2">
        <w:rPr>
          <w:lang w:val="en-US"/>
        </w:rPr>
        <w:t xml:space="preserve">- whereas a majority of </w:t>
      </w:r>
      <w:r w:rsidR="00F40CF5" w:rsidRPr="005B411D">
        <w:rPr>
          <w:lang w:val="en-US"/>
        </w:rPr>
        <w:t xml:space="preserve">the </w:t>
      </w:r>
      <w:r w:rsidR="00F40CF5" w:rsidRPr="00F413CA">
        <w:rPr>
          <w:lang w:val="en-US"/>
        </w:rPr>
        <w:t>population is active in the informal sector of the economy</w:t>
      </w:r>
      <w:r w:rsidR="005D6B65">
        <w:rPr>
          <w:lang w:val="en-US"/>
        </w:rPr>
        <w:t xml:space="preserve"> (around 70% of the Indonesian employment)</w:t>
      </w:r>
      <w:r w:rsidR="00F40CF5" w:rsidRPr="00F413CA">
        <w:rPr>
          <w:lang w:val="en-US"/>
        </w:rPr>
        <w:t>.</w:t>
      </w:r>
    </w:p>
    <w:p w14:paraId="17AEFAFA" w14:textId="02F2DA7D" w:rsidR="00937350" w:rsidRPr="0029780C" w:rsidRDefault="00F53D13" w:rsidP="00E52E4F">
      <w:pPr>
        <w:spacing w:line="276" w:lineRule="auto"/>
        <w:rPr>
          <w:lang w:val="en-US"/>
        </w:rPr>
      </w:pPr>
      <w:r>
        <w:rPr>
          <w:lang w:val="en-US"/>
        </w:rPr>
        <w:t>Categories of institutions outside the mainstream financial system serve these segments</w:t>
      </w:r>
      <w:r w:rsidR="00F40CF5" w:rsidRPr="008A3C06">
        <w:rPr>
          <w:lang w:val="en-US"/>
        </w:rPr>
        <w:t xml:space="preserve">, </w:t>
      </w:r>
      <w:r w:rsidR="0029780C">
        <w:rPr>
          <w:lang w:val="en-US"/>
        </w:rPr>
        <w:t xml:space="preserve">but their </w:t>
      </w:r>
      <w:r w:rsidR="00BD347E" w:rsidRPr="00B5752B">
        <w:rPr>
          <w:lang w:val="en-US"/>
        </w:rPr>
        <w:t>supply of housing loans</w:t>
      </w:r>
      <w:r w:rsidR="0029780C">
        <w:rPr>
          <w:lang w:val="en-US"/>
        </w:rPr>
        <w:t xml:space="preserve"> is limited</w:t>
      </w:r>
      <w:r w:rsidR="00BD347E" w:rsidRPr="00B5752B">
        <w:rPr>
          <w:lang w:val="en-US"/>
        </w:rPr>
        <w:t xml:space="preserve">. </w:t>
      </w:r>
      <w:r w:rsidR="00F40CF5" w:rsidRPr="002B121E">
        <w:rPr>
          <w:lang w:val="en-US"/>
        </w:rPr>
        <w:t xml:space="preserve"> </w:t>
      </w:r>
      <w:r w:rsidR="00965563" w:rsidRPr="0029780C">
        <w:rPr>
          <w:lang w:val="en-US"/>
        </w:rPr>
        <w:t>Regional</w:t>
      </w:r>
      <w:r w:rsidR="00366CD1" w:rsidRPr="0029780C">
        <w:rPr>
          <w:lang w:val="en-US"/>
        </w:rPr>
        <w:t xml:space="preserve"> </w:t>
      </w:r>
      <w:r w:rsidR="00965563" w:rsidRPr="0029780C">
        <w:rPr>
          <w:lang w:val="en-US"/>
        </w:rPr>
        <w:t>banks</w:t>
      </w:r>
      <w:r w:rsidR="00BD347E" w:rsidRPr="0029780C">
        <w:rPr>
          <w:lang w:val="en-US"/>
        </w:rPr>
        <w:t xml:space="preserve">, which have the opportunity to reach out to lower income households in their communities, did develop </w:t>
      </w:r>
      <w:r w:rsidR="00955EBA" w:rsidRPr="0029780C">
        <w:rPr>
          <w:lang w:val="en-US"/>
        </w:rPr>
        <w:t>’</w:t>
      </w:r>
      <w:r w:rsidR="00965563" w:rsidRPr="0029780C">
        <w:rPr>
          <w:lang w:val="en-US"/>
        </w:rPr>
        <w:t xml:space="preserve"> </w:t>
      </w:r>
      <w:r w:rsidR="008934E7" w:rsidRPr="0029780C">
        <w:rPr>
          <w:lang w:val="en-US"/>
        </w:rPr>
        <w:t xml:space="preserve">mortgage portfolios, but </w:t>
      </w:r>
      <w:r w:rsidR="00965563" w:rsidRPr="0029780C">
        <w:rPr>
          <w:lang w:val="en-US"/>
        </w:rPr>
        <w:t>the</w:t>
      </w:r>
      <w:r w:rsidR="00B63116" w:rsidRPr="0029780C">
        <w:rPr>
          <w:lang w:val="en-US"/>
        </w:rPr>
        <w:t xml:space="preserve"> volumes </w:t>
      </w:r>
      <w:r w:rsidR="00A77105" w:rsidRPr="0029780C">
        <w:rPr>
          <w:lang w:val="en-US"/>
        </w:rPr>
        <w:t>involved have</w:t>
      </w:r>
      <w:r w:rsidR="00965563" w:rsidRPr="0029780C">
        <w:rPr>
          <w:lang w:val="en-US"/>
        </w:rPr>
        <w:t xml:space="preserve"> not been growing nowhere near as commercial banks</w:t>
      </w:r>
      <w:r w:rsidR="00BE11CF" w:rsidRPr="0029780C">
        <w:rPr>
          <w:lang w:val="en-US"/>
        </w:rPr>
        <w:t xml:space="preserve"> nor do they start with as large of a base</w:t>
      </w:r>
      <w:r w:rsidR="00706351" w:rsidRPr="0029780C">
        <w:rPr>
          <w:lang w:val="en-US"/>
        </w:rPr>
        <w:t>.</w:t>
      </w:r>
      <w:r w:rsidR="00E70DC6" w:rsidRPr="0029780C">
        <w:rPr>
          <w:lang w:val="en-US"/>
        </w:rPr>
        <w:t xml:space="preserve"> A </w:t>
      </w:r>
      <w:r w:rsidR="002E702D" w:rsidRPr="0029780C">
        <w:rPr>
          <w:lang w:val="en-US"/>
        </w:rPr>
        <w:t>mortgage</w:t>
      </w:r>
      <w:r w:rsidR="00E70DC6" w:rsidRPr="0029780C">
        <w:rPr>
          <w:lang w:val="en-US"/>
        </w:rPr>
        <w:t xml:space="preserve"> business </w:t>
      </w:r>
      <w:r w:rsidR="002E702D" w:rsidRPr="0029780C">
        <w:rPr>
          <w:lang w:val="en-US"/>
        </w:rPr>
        <w:t xml:space="preserve">line </w:t>
      </w:r>
      <w:r w:rsidR="00955EBA" w:rsidRPr="0029780C">
        <w:rPr>
          <w:lang w:val="en-US"/>
        </w:rPr>
        <w:t>was</w:t>
      </w:r>
      <w:r w:rsidR="00E70DC6" w:rsidRPr="0029780C">
        <w:rPr>
          <w:lang w:val="en-US"/>
        </w:rPr>
        <w:t xml:space="preserve"> developed </w:t>
      </w:r>
      <w:r w:rsidR="00E07E5D" w:rsidRPr="0029780C">
        <w:rPr>
          <w:lang w:val="en-US"/>
        </w:rPr>
        <w:t xml:space="preserve">by some </w:t>
      </w:r>
      <w:r w:rsidR="00E70DC6" w:rsidRPr="0029780C">
        <w:rPr>
          <w:lang w:val="en-US"/>
        </w:rPr>
        <w:t>credit cooperatives</w:t>
      </w:r>
      <w:r w:rsidR="00FC00C0" w:rsidRPr="0029780C">
        <w:rPr>
          <w:lang w:val="en-US"/>
        </w:rPr>
        <w:t>.</w:t>
      </w:r>
      <w:r w:rsidR="00E70DC6" w:rsidRPr="0029780C">
        <w:rPr>
          <w:lang w:val="en-US"/>
        </w:rPr>
        <w:t xml:space="preserve"> </w:t>
      </w:r>
      <w:r w:rsidR="00BD347E" w:rsidRPr="0029780C">
        <w:rPr>
          <w:lang w:val="en-US"/>
        </w:rPr>
        <w:t xml:space="preserve">However, problems have been reported in the </w:t>
      </w:r>
      <w:r w:rsidR="00937350" w:rsidRPr="0029780C">
        <w:rPr>
          <w:lang w:val="en-US"/>
        </w:rPr>
        <w:t>extension</w:t>
      </w:r>
      <w:r w:rsidR="00BD347E" w:rsidRPr="0029780C">
        <w:rPr>
          <w:lang w:val="en-US"/>
        </w:rPr>
        <w:t xml:space="preserve"> of </w:t>
      </w:r>
      <w:r w:rsidR="003D3DF2" w:rsidRPr="0029780C">
        <w:rPr>
          <w:lang w:val="en-US"/>
        </w:rPr>
        <w:t>low-income</w:t>
      </w:r>
      <w:r w:rsidR="00937350" w:rsidRPr="0029780C">
        <w:rPr>
          <w:lang w:val="en-US"/>
        </w:rPr>
        <w:t xml:space="preserve"> housing loans in this sector.  </w:t>
      </w:r>
    </w:p>
    <w:p w14:paraId="2EDEFBB3" w14:textId="380211EC" w:rsidR="00FC00C0" w:rsidRPr="0029780C" w:rsidRDefault="00937350" w:rsidP="00E52E4F">
      <w:pPr>
        <w:spacing w:after="240" w:line="276" w:lineRule="auto"/>
        <w:rPr>
          <w:lang w:val="en-US"/>
        </w:rPr>
      </w:pPr>
      <w:r w:rsidRPr="0029780C">
        <w:rPr>
          <w:lang w:val="en-US"/>
        </w:rPr>
        <w:t xml:space="preserve">Despite sporadic developments, e.g. </w:t>
      </w:r>
      <w:proofErr w:type="gramStart"/>
      <w:r w:rsidR="003D3DF2" w:rsidRPr="0029780C">
        <w:rPr>
          <w:lang w:val="en-US"/>
        </w:rPr>
        <w:t xml:space="preserve">by </w:t>
      </w:r>
      <w:r w:rsidR="00BD347E" w:rsidRPr="0029780C">
        <w:rPr>
          <w:lang w:val="en-US"/>
        </w:rPr>
        <w:t xml:space="preserve"> the</w:t>
      </w:r>
      <w:proofErr w:type="gramEnd"/>
      <w:r w:rsidR="00BD347E" w:rsidRPr="0029780C">
        <w:rPr>
          <w:lang w:val="en-US"/>
        </w:rPr>
        <w:t xml:space="preserve"> members of the </w:t>
      </w:r>
      <w:r w:rsidR="003D3DF2" w:rsidRPr="0029780C">
        <w:rPr>
          <w:lang w:val="en-US"/>
        </w:rPr>
        <w:t>Sharia</w:t>
      </w:r>
      <w:r w:rsidR="00BD347E" w:rsidRPr="0029780C">
        <w:rPr>
          <w:lang w:val="en-US"/>
        </w:rPr>
        <w:t xml:space="preserve"> based </w:t>
      </w:r>
      <w:proofErr w:type="spellStart"/>
      <w:r w:rsidR="00BD347E" w:rsidRPr="0029780C">
        <w:rPr>
          <w:lang w:val="en-US"/>
        </w:rPr>
        <w:t>Baitu</w:t>
      </w:r>
      <w:proofErr w:type="spellEnd"/>
      <w:r w:rsidR="00BD347E" w:rsidRPr="0029780C">
        <w:rPr>
          <w:lang w:val="en-US"/>
        </w:rPr>
        <w:t xml:space="preserve"> </w:t>
      </w:r>
      <w:proofErr w:type="spellStart"/>
      <w:r w:rsidR="00BD347E" w:rsidRPr="0029780C">
        <w:rPr>
          <w:lang w:val="en-US"/>
        </w:rPr>
        <w:t>Maal</w:t>
      </w:r>
      <w:proofErr w:type="spellEnd"/>
      <w:r w:rsidR="00BD347E" w:rsidRPr="0029780C">
        <w:rPr>
          <w:lang w:val="en-US"/>
        </w:rPr>
        <w:t xml:space="preserve"> </w:t>
      </w:r>
      <w:proofErr w:type="spellStart"/>
      <w:r w:rsidR="00BD347E" w:rsidRPr="0029780C">
        <w:rPr>
          <w:lang w:val="en-US"/>
        </w:rPr>
        <w:t>wat</w:t>
      </w:r>
      <w:proofErr w:type="spellEnd"/>
      <w:r w:rsidR="00BD347E" w:rsidRPr="0029780C">
        <w:rPr>
          <w:lang w:val="en-US"/>
        </w:rPr>
        <w:t xml:space="preserve"> </w:t>
      </w:r>
      <w:proofErr w:type="spellStart"/>
      <w:r w:rsidR="00BD347E" w:rsidRPr="0029780C">
        <w:rPr>
          <w:lang w:val="en-US"/>
        </w:rPr>
        <w:t>Tamwil</w:t>
      </w:r>
      <w:proofErr w:type="spellEnd"/>
      <w:r w:rsidR="00BD347E" w:rsidRPr="0029780C">
        <w:rPr>
          <w:lang w:val="en-US"/>
        </w:rPr>
        <w:t xml:space="preserve"> (BMT) network</w:t>
      </w:r>
      <w:r w:rsidRPr="0029780C">
        <w:rPr>
          <w:lang w:val="en-US"/>
        </w:rPr>
        <w:t xml:space="preserve"> or BTN itself</w:t>
      </w:r>
      <w:r w:rsidR="003D3DF2" w:rsidRPr="0029780C">
        <w:rPr>
          <w:lang w:val="en-US"/>
        </w:rPr>
        <w:t xml:space="preserve">, </w:t>
      </w:r>
      <w:proofErr w:type="spellStart"/>
      <w:r w:rsidR="00955EBA" w:rsidRPr="0029780C">
        <w:rPr>
          <w:lang w:val="en-US"/>
        </w:rPr>
        <w:t>Shariah</w:t>
      </w:r>
      <w:proofErr w:type="spellEnd"/>
      <w:r w:rsidR="00955EBA" w:rsidRPr="0029780C">
        <w:rPr>
          <w:lang w:val="en-US"/>
        </w:rPr>
        <w:t xml:space="preserve"> lending is </w:t>
      </w:r>
      <w:r w:rsidRPr="0029780C">
        <w:rPr>
          <w:lang w:val="en-US"/>
        </w:rPr>
        <w:t>not widely offered.</w:t>
      </w:r>
    </w:p>
    <w:p w14:paraId="3B6AC251" w14:textId="77777777" w:rsidR="000721C1" w:rsidRPr="00A83CBE" w:rsidRDefault="000721C1" w:rsidP="00E52E4F">
      <w:pPr>
        <w:numPr>
          <w:ilvl w:val="0"/>
          <w:numId w:val="35"/>
        </w:numPr>
        <w:spacing w:line="276" w:lineRule="auto"/>
        <w:ind w:left="0" w:firstLine="0"/>
        <w:rPr>
          <w:lang w:val="en-US"/>
        </w:rPr>
      </w:pPr>
      <w:r w:rsidRPr="00E52E4F">
        <w:rPr>
          <w:b/>
          <w:lang w:val="en-US"/>
        </w:rPr>
        <w:t>Financial</w:t>
      </w:r>
      <w:r w:rsidRPr="0029780C">
        <w:rPr>
          <w:b/>
          <w:lang w:val="en-US"/>
        </w:rPr>
        <w:t>, and especially interest rate</w:t>
      </w:r>
      <w:r w:rsidR="00D41109" w:rsidRPr="0029780C">
        <w:rPr>
          <w:b/>
          <w:lang w:val="en-US"/>
        </w:rPr>
        <w:t>,</w:t>
      </w:r>
      <w:r w:rsidRPr="0029780C">
        <w:rPr>
          <w:b/>
          <w:lang w:val="en-US"/>
        </w:rPr>
        <w:t xml:space="preserve"> risks are constraining the development of housing finance</w:t>
      </w:r>
    </w:p>
    <w:p w14:paraId="365C21CB" w14:textId="5FABB066" w:rsidR="00D41109" w:rsidRPr="0029780C" w:rsidRDefault="00C63FF1" w:rsidP="00E52E4F">
      <w:pPr>
        <w:spacing w:after="120" w:line="276" w:lineRule="auto"/>
        <w:rPr>
          <w:lang w:val="en-US"/>
        </w:rPr>
      </w:pPr>
      <w:r w:rsidRPr="00F413CA">
        <w:rPr>
          <w:lang w:val="en-US"/>
        </w:rPr>
        <w:t xml:space="preserve">Mortgage loans are extended for </w:t>
      </w:r>
      <w:r w:rsidR="00555C86" w:rsidRPr="009975A1">
        <w:rPr>
          <w:lang w:val="en-US"/>
        </w:rPr>
        <w:t>maturities</w:t>
      </w:r>
      <w:r w:rsidRPr="009975A1">
        <w:rPr>
          <w:lang w:val="en-US"/>
        </w:rPr>
        <w:t xml:space="preserve"> of </w:t>
      </w:r>
      <w:r w:rsidR="00555C86" w:rsidRPr="008A3C06">
        <w:rPr>
          <w:lang w:val="en-US"/>
        </w:rPr>
        <w:t>up to 20</w:t>
      </w:r>
      <w:r w:rsidR="00366CD1" w:rsidRPr="008A3C06">
        <w:rPr>
          <w:lang w:val="en-US"/>
        </w:rPr>
        <w:t xml:space="preserve"> </w:t>
      </w:r>
      <w:r w:rsidR="00555C86" w:rsidRPr="00DB6BD5">
        <w:rPr>
          <w:lang w:val="en-US"/>
        </w:rPr>
        <w:t>years</w:t>
      </w:r>
      <w:r w:rsidR="00775EAA" w:rsidRPr="00DB6BD5">
        <w:rPr>
          <w:lang w:val="en-US"/>
        </w:rPr>
        <w:t>, but often last actually much less</w:t>
      </w:r>
      <w:r w:rsidR="00955EBA" w:rsidRPr="00B10831">
        <w:rPr>
          <w:lang w:val="en-US"/>
        </w:rPr>
        <w:t xml:space="preserve">, </w:t>
      </w:r>
      <w:r w:rsidR="00BE11CF" w:rsidRPr="00B5752B">
        <w:rPr>
          <w:lang w:val="en-US"/>
        </w:rPr>
        <w:t>as</w:t>
      </w:r>
      <w:r w:rsidR="00955EBA" w:rsidRPr="00B5752B">
        <w:rPr>
          <w:lang w:val="en-US"/>
        </w:rPr>
        <w:t xml:space="preserve"> it is a common practice for borrowers to prepay</w:t>
      </w:r>
      <w:r w:rsidR="00775EAA" w:rsidRPr="002B121E">
        <w:rPr>
          <w:lang w:val="en-US"/>
        </w:rPr>
        <w:t xml:space="preserve">. </w:t>
      </w:r>
      <w:r w:rsidR="00555C86" w:rsidRPr="0029780C">
        <w:rPr>
          <w:lang w:val="en-US"/>
        </w:rPr>
        <w:t xml:space="preserve"> </w:t>
      </w:r>
      <w:r w:rsidR="00FC00C0" w:rsidRPr="0029780C">
        <w:rPr>
          <w:lang w:val="en-US"/>
        </w:rPr>
        <w:t>Because of funding constraints, i</w:t>
      </w:r>
      <w:r w:rsidR="00555C86" w:rsidRPr="0029780C">
        <w:rPr>
          <w:lang w:val="en-US"/>
        </w:rPr>
        <w:t xml:space="preserve">nterest rates are </w:t>
      </w:r>
      <w:r w:rsidR="00955EBA" w:rsidRPr="0029780C">
        <w:rPr>
          <w:lang w:val="en-US"/>
        </w:rPr>
        <w:t xml:space="preserve">generally </w:t>
      </w:r>
      <w:r w:rsidR="00555C86" w:rsidRPr="0029780C">
        <w:rPr>
          <w:lang w:val="en-US"/>
        </w:rPr>
        <w:t>adjustable</w:t>
      </w:r>
      <w:r w:rsidR="00555C86" w:rsidRPr="003D3DF2">
        <w:rPr>
          <w:rStyle w:val="FootnoteReference"/>
          <w:lang w:val="en-US"/>
        </w:rPr>
        <w:footnoteReference w:id="3"/>
      </w:r>
      <w:r w:rsidR="00555C86" w:rsidRPr="003D3DF2">
        <w:rPr>
          <w:lang w:val="en-US"/>
        </w:rPr>
        <w:t xml:space="preserve"> according to the lenders’ cost of funds</w:t>
      </w:r>
      <w:r w:rsidR="000721C1" w:rsidRPr="005B411D">
        <w:rPr>
          <w:lang w:val="en-US"/>
        </w:rPr>
        <w:t xml:space="preserve">, which can translate in a credit risk </w:t>
      </w:r>
      <w:r w:rsidR="000721C1" w:rsidRPr="00F413CA">
        <w:rPr>
          <w:lang w:val="en-US"/>
        </w:rPr>
        <w:t xml:space="preserve">in stressed </w:t>
      </w:r>
      <w:r w:rsidR="00D41109" w:rsidRPr="009975A1">
        <w:rPr>
          <w:lang w:val="en-US"/>
        </w:rPr>
        <w:t>financial market conditions</w:t>
      </w:r>
      <w:r w:rsidR="00555C86" w:rsidRPr="009975A1">
        <w:rPr>
          <w:lang w:val="en-US"/>
        </w:rPr>
        <w:t>.</w:t>
      </w:r>
      <w:r w:rsidR="00A77105" w:rsidRPr="008A3C06">
        <w:rPr>
          <w:lang w:val="en-US"/>
        </w:rPr>
        <w:t xml:space="preserve"> </w:t>
      </w:r>
      <w:r w:rsidR="00D41109" w:rsidRPr="008A3C06">
        <w:rPr>
          <w:lang w:val="en-US"/>
        </w:rPr>
        <w:t>Subsi</w:t>
      </w:r>
      <w:r w:rsidR="00D41109" w:rsidRPr="00DB6BD5">
        <w:rPr>
          <w:lang w:val="en-US"/>
        </w:rPr>
        <w:t>dized loan programs require fixed interest rate</w:t>
      </w:r>
      <w:r w:rsidR="00D41109" w:rsidRPr="00B10831">
        <w:rPr>
          <w:lang w:val="en-US"/>
        </w:rPr>
        <w:t xml:space="preserve">s –during the first </w:t>
      </w:r>
      <w:r w:rsidR="00BA4D2C" w:rsidRPr="00A57F20">
        <w:rPr>
          <w:lang w:val="en-US"/>
        </w:rPr>
        <w:t xml:space="preserve">5 to 8 </w:t>
      </w:r>
      <w:r w:rsidR="00D41109" w:rsidRPr="00B5752B">
        <w:rPr>
          <w:lang w:val="en-US"/>
        </w:rPr>
        <w:t>years for the hitherto prevalent buy-down subsidy scheme</w:t>
      </w:r>
      <w:r w:rsidR="00BA4D2C" w:rsidRPr="002B121E">
        <w:rPr>
          <w:lang w:val="en-US"/>
        </w:rPr>
        <w:t xml:space="preserve">, </w:t>
      </w:r>
      <w:r w:rsidR="00634894" w:rsidRPr="0029780C">
        <w:rPr>
          <w:lang w:val="en-US"/>
        </w:rPr>
        <w:t>during the whole life of the loans with the new scheme (see below)-</w:t>
      </w:r>
      <w:r w:rsidR="00D41109" w:rsidRPr="0029780C">
        <w:rPr>
          <w:lang w:val="en-US"/>
        </w:rPr>
        <w:t>, which, in the absence of hedging instruments, can deter lenders from participating to them.</w:t>
      </w:r>
    </w:p>
    <w:p w14:paraId="376D6A6F" w14:textId="254AB569" w:rsidR="004D0356" w:rsidRPr="0029780C" w:rsidRDefault="00B7214E" w:rsidP="00E52E4F">
      <w:pPr>
        <w:spacing w:after="240" w:line="276" w:lineRule="auto"/>
        <w:rPr>
          <w:lang w:val="en-US"/>
        </w:rPr>
      </w:pPr>
      <w:r w:rsidRPr="0029780C">
        <w:rPr>
          <w:lang w:val="en-US"/>
        </w:rPr>
        <w:t>Securing long term</w:t>
      </w:r>
      <w:r w:rsidR="00D41109" w:rsidRPr="0029780C">
        <w:rPr>
          <w:lang w:val="en-US"/>
        </w:rPr>
        <w:t xml:space="preserve"> liquidity is also a structural concern. </w:t>
      </w:r>
      <w:r w:rsidRPr="0029780C">
        <w:rPr>
          <w:lang w:val="en-US"/>
        </w:rPr>
        <w:t xml:space="preserve">Loans-to-deposits ratios are high in Indonesia - </w:t>
      </w:r>
      <w:r w:rsidRPr="00A83CBE">
        <w:rPr>
          <w:lang w:val="en-US"/>
        </w:rPr>
        <w:t>a success for the BI policy to induce the full mobilization of banking resources to develop credit.  However, in the case of long term lending, using deposits as the source of funding beyond core</w:t>
      </w:r>
      <w:r w:rsidRPr="00280F2F">
        <w:rPr>
          <w:lang w:val="en-US"/>
        </w:rPr>
        <w:t xml:space="preserve"> </w:t>
      </w:r>
      <w:r w:rsidRPr="000570C1">
        <w:rPr>
          <w:lang w:val="en-US"/>
        </w:rPr>
        <w:t xml:space="preserve">deposit bases - considered as permanent resources for </w:t>
      </w:r>
      <w:r w:rsidRPr="000570C1">
        <w:rPr>
          <w:lang w:val="en-US"/>
        </w:rPr>
        <w:lastRenderedPageBreak/>
        <w:t xml:space="preserve">banks- generates a liquidity risk, which constrains the further growth of credit. </w:t>
      </w:r>
      <w:r w:rsidR="00D41109" w:rsidRPr="000570C1">
        <w:rPr>
          <w:lang w:val="en-US"/>
        </w:rPr>
        <w:t>This is particularly the case for BTN, which recurrently has a very high loan-to-deposit ratio (110% at the end of 2010</w:t>
      </w:r>
      <w:r w:rsidRPr="00C27FCC">
        <w:rPr>
          <w:lang w:val="en-US"/>
        </w:rPr>
        <w:t>,</w:t>
      </w:r>
      <w:r w:rsidRPr="00D57D92">
        <w:rPr>
          <w:lang w:val="en-US"/>
        </w:rPr>
        <w:t xml:space="preserve"> a ratio that is in fact higher if the volatile share of deposits is excluded from its calculation</w:t>
      </w:r>
      <w:r w:rsidR="00D41109" w:rsidRPr="00B23C02">
        <w:rPr>
          <w:lang w:val="en-US"/>
        </w:rPr>
        <w:t>)</w:t>
      </w:r>
      <w:r w:rsidRPr="00F53D13">
        <w:rPr>
          <w:lang w:val="en-US"/>
        </w:rPr>
        <w:t xml:space="preserve">. </w:t>
      </w:r>
      <w:r w:rsidR="00D41109" w:rsidRPr="00F53D13">
        <w:rPr>
          <w:lang w:val="en-US"/>
        </w:rPr>
        <w:t xml:space="preserve"> </w:t>
      </w:r>
    </w:p>
    <w:p w14:paraId="7B98EC41" w14:textId="3E1E4E98" w:rsidR="003274AF" w:rsidRPr="00E52E4F" w:rsidRDefault="00971B88" w:rsidP="00E52E4F">
      <w:pPr>
        <w:numPr>
          <w:ilvl w:val="0"/>
          <w:numId w:val="35"/>
        </w:numPr>
        <w:spacing w:line="276" w:lineRule="auto"/>
        <w:ind w:left="0" w:firstLine="0"/>
        <w:rPr>
          <w:b/>
          <w:lang w:val="en-US"/>
        </w:rPr>
      </w:pPr>
      <w:r w:rsidRPr="00E52E4F">
        <w:rPr>
          <w:b/>
          <w:lang w:val="en-US"/>
        </w:rPr>
        <w:t>The m</w:t>
      </w:r>
      <w:r w:rsidR="006124CC" w:rsidRPr="00E52E4F">
        <w:rPr>
          <w:b/>
          <w:lang w:val="en-US"/>
        </w:rPr>
        <w:t>ortgage market infrastructure</w:t>
      </w:r>
      <w:r w:rsidR="003274AF" w:rsidRPr="00E52E4F">
        <w:rPr>
          <w:b/>
          <w:lang w:val="en-US"/>
        </w:rPr>
        <w:t xml:space="preserve"> </w:t>
      </w:r>
      <w:r w:rsidRPr="00E52E4F">
        <w:rPr>
          <w:b/>
          <w:lang w:val="en-US"/>
        </w:rPr>
        <w:t>has benefited from significant progress, but some issues remain</w:t>
      </w:r>
    </w:p>
    <w:p w14:paraId="34AC61D7" w14:textId="2C5FF843" w:rsidR="0071618B" w:rsidRPr="00024367" w:rsidRDefault="006124CC" w:rsidP="00E52E4F">
      <w:pPr>
        <w:spacing w:line="276" w:lineRule="auto"/>
        <w:rPr>
          <w:lang w:val="en-US"/>
        </w:rPr>
      </w:pPr>
      <w:r w:rsidRPr="00280F2F">
        <w:rPr>
          <w:lang w:val="en-US"/>
        </w:rPr>
        <w:t xml:space="preserve"> </w:t>
      </w:r>
      <w:r w:rsidR="003274AF" w:rsidRPr="000570C1">
        <w:rPr>
          <w:lang w:val="en-US"/>
        </w:rPr>
        <w:t xml:space="preserve">The market </w:t>
      </w:r>
      <w:r w:rsidR="00F403AD" w:rsidRPr="00C27FCC">
        <w:rPr>
          <w:lang w:val="en-US"/>
        </w:rPr>
        <w:t>infrastructure has</w:t>
      </w:r>
      <w:r w:rsidRPr="00D57D92">
        <w:rPr>
          <w:lang w:val="en-US"/>
        </w:rPr>
        <w:t xml:space="preserve"> been </w:t>
      </w:r>
      <w:r w:rsidR="003274AF" w:rsidRPr="00D57D92">
        <w:rPr>
          <w:lang w:val="en-US"/>
        </w:rPr>
        <w:t xml:space="preserve">noticeably </w:t>
      </w:r>
      <w:r w:rsidRPr="00B23C02">
        <w:rPr>
          <w:lang w:val="en-US"/>
        </w:rPr>
        <w:t>improved in the past few years</w:t>
      </w:r>
      <w:r w:rsidR="005B4DEC" w:rsidRPr="00F53D13">
        <w:rPr>
          <w:lang w:val="en-US"/>
        </w:rPr>
        <w:t xml:space="preserve">, </w:t>
      </w:r>
      <w:r w:rsidR="00971B88" w:rsidRPr="005D6B65">
        <w:rPr>
          <w:lang w:val="en-US"/>
        </w:rPr>
        <w:t>and</w:t>
      </w:r>
      <w:r w:rsidR="005B4DEC" w:rsidRPr="00934AF5">
        <w:rPr>
          <w:lang w:val="en-US"/>
        </w:rPr>
        <w:t xml:space="preserve"> </w:t>
      </w:r>
      <w:r w:rsidR="00971B88" w:rsidRPr="007C4C85">
        <w:rPr>
          <w:lang w:val="en-US"/>
        </w:rPr>
        <w:t>m</w:t>
      </w:r>
      <w:r w:rsidR="00072212" w:rsidRPr="007C4C85">
        <w:rPr>
          <w:lang w:val="en-US"/>
        </w:rPr>
        <w:t>any of the necessary components have been put in place</w:t>
      </w:r>
      <w:r w:rsidR="00971B88" w:rsidRPr="00853832">
        <w:rPr>
          <w:lang w:val="en-US"/>
        </w:rPr>
        <w:t>. C</w:t>
      </w:r>
      <w:r w:rsidR="00072212" w:rsidRPr="00853832">
        <w:rPr>
          <w:lang w:val="en-US"/>
        </w:rPr>
        <w:t xml:space="preserve">hallenges still remain </w:t>
      </w:r>
      <w:r w:rsidR="00072212" w:rsidRPr="00EC3BF6">
        <w:rPr>
          <w:lang w:val="en-US"/>
        </w:rPr>
        <w:t>due to factors such as a high level of transaction costs,</w:t>
      </w:r>
      <w:r w:rsidR="00BE11CF" w:rsidRPr="00EC3BF6">
        <w:rPr>
          <w:lang w:val="en-US"/>
        </w:rPr>
        <w:t xml:space="preserve"> questions about titling and registration, </w:t>
      </w:r>
      <w:r w:rsidR="00072212" w:rsidRPr="00EC3BF6">
        <w:rPr>
          <w:lang w:val="en-US"/>
        </w:rPr>
        <w:t xml:space="preserve">and certain debtor information. </w:t>
      </w:r>
    </w:p>
    <w:p w14:paraId="5432420E" w14:textId="77777777" w:rsidR="001F3E74" w:rsidRPr="00024367" w:rsidRDefault="001F3E74" w:rsidP="00E52E4F">
      <w:pPr>
        <w:spacing w:line="276" w:lineRule="auto"/>
        <w:rPr>
          <w:lang w:val="en-US"/>
        </w:rPr>
      </w:pPr>
    </w:p>
    <w:p w14:paraId="271D01D5" w14:textId="2F6440B0" w:rsidR="00072212" w:rsidRPr="00FD6E17" w:rsidRDefault="006124CC" w:rsidP="00E52E4F">
      <w:pPr>
        <w:numPr>
          <w:ilvl w:val="0"/>
          <w:numId w:val="3"/>
        </w:numPr>
        <w:spacing w:line="276" w:lineRule="auto"/>
        <w:rPr>
          <w:b/>
          <w:lang w:val="en-US"/>
        </w:rPr>
      </w:pPr>
      <w:r w:rsidRPr="001611AB">
        <w:rPr>
          <w:b/>
          <w:lang w:val="en-US"/>
        </w:rPr>
        <w:t xml:space="preserve">Property rights and the </w:t>
      </w:r>
      <w:r w:rsidR="0071618B" w:rsidRPr="001611AB">
        <w:rPr>
          <w:b/>
          <w:lang w:val="en-US"/>
        </w:rPr>
        <w:t>titling administration</w:t>
      </w:r>
      <w:r w:rsidRPr="00FD6E17">
        <w:rPr>
          <w:lang w:val="en-US"/>
        </w:rPr>
        <w:t xml:space="preserve"> have </w:t>
      </w:r>
      <w:r w:rsidR="00BE11CF" w:rsidRPr="00FD6E17">
        <w:rPr>
          <w:lang w:val="en-US"/>
        </w:rPr>
        <w:t xml:space="preserve">gone through some degree of being </w:t>
      </w:r>
      <w:r w:rsidRPr="00FD6E17">
        <w:rPr>
          <w:lang w:val="en-US"/>
        </w:rPr>
        <w:t>rationalized and strengthened</w:t>
      </w:r>
      <w:r w:rsidR="00E77CD8" w:rsidRPr="003D3DF2">
        <w:rPr>
          <w:rStyle w:val="FootnoteReference"/>
          <w:lang w:val="en-US"/>
        </w:rPr>
        <w:footnoteReference w:id="4"/>
      </w:r>
      <w:r w:rsidRPr="00FD6E17">
        <w:rPr>
          <w:lang w:val="en-US"/>
        </w:rPr>
        <w:t>.</w:t>
      </w:r>
      <w:r w:rsidRPr="003D3DF2">
        <w:rPr>
          <w:b/>
          <w:lang w:val="en-US"/>
        </w:rPr>
        <w:t xml:space="preserve"> </w:t>
      </w:r>
      <w:r w:rsidR="0071618B" w:rsidRPr="003D3DF2">
        <w:rPr>
          <w:lang w:val="en-US"/>
        </w:rPr>
        <w:t xml:space="preserve">There </w:t>
      </w:r>
      <w:r w:rsidR="00FB3845" w:rsidRPr="005B411D">
        <w:rPr>
          <w:lang w:val="en-US"/>
        </w:rPr>
        <w:t xml:space="preserve">is a relatively wide array </w:t>
      </w:r>
      <w:r w:rsidR="00775EAA" w:rsidRPr="005B411D">
        <w:rPr>
          <w:lang w:val="en-US"/>
        </w:rPr>
        <w:t xml:space="preserve">of </w:t>
      </w:r>
      <w:r w:rsidR="003274AF" w:rsidRPr="00F413CA">
        <w:rPr>
          <w:lang w:val="en-US"/>
        </w:rPr>
        <w:t>possession rights</w:t>
      </w:r>
      <w:r w:rsidR="0071618B" w:rsidRPr="009975A1">
        <w:rPr>
          <w:b/>
          <w:lang w:val="en-US"/>
        </w:rPr>
        <w:t xml:space="preserve"> </w:t>
      </w:r>
      <w:r w:rsidR="00FB3845" w:rsidRPr="009975A1">
        <w:rPr>
          <w:lang w:val="en-US"/>
        </w:rPr>
        <w:t xml:space="preserve">in Indonesia, with </w:t>
      </w:r>
      <w:r w:rsidR="003274AF" w:rsidRPr="008A3C06">
        <w:rPr>
          <w:lang w:val="en-US"/>
        </w:rPr>
        <w:t>widespread leaseholds</w:t>
      </w:r>
      <w:r w:rsidR="00FB3845" w:rsidRPr="00DB6BD5">
        <w:rPr>
          <w:lang w:val="en-US"/>
        </w:rPr>
        <w:t xml:space="preserve"> or land usage </w:t>
      </w:r>
      <w:r w:rsidR="003274AF" w:rsidRPr="00DB6BD5">
        <w:rPr>
          <w:lang w:val="en-US"/>
        </w:rPr>
        <w:t>rights,</w:t>
      </w:r>
      <w:r w:rsidR="00775EAA" w:rsidRPr="00B10831">
        <w:rPr>
          <w:lang w:val="en-US"/>
        </w:rPr>
        <w:t xml:space="preserve"> beside freehold titles</w:t>
      </w:r>
      <w:r w:rsidR="00FB3845" w:rsidRPr="00A57F20">
        <w:rPr>
          <w:lang w:val="en-US"/>
        </w:rPr>
        <w:t>. The rights attached to each category of title are clearly defined by law. However, this creates a relative complexity of the legal background, limits the categories of properties that can be mo</w:t>
      </w:r>
      <w:r w:rsidR="00FB3845" w:rsidRPr="00B5752B">
        <w:rPr>
          <w:lang w:val="en-US"/>
        </w:rPr>
        <w:t xml:space="preserve">rtgaged, and may constrain the future securitization market. </w:t>
      </w:r>
      <w:r w:rsidR="00BE11CF" w:rsidRPr="0029780C">
        <w:rPr>
          <w:lang w:val="en-US"/>
        </w:rPr>
        <w:t>.</w:t>
      </w:r>
      <w:r w:rsidR="00BE11CF" w:rsidRPr="0029780C">
        <w:rPr>
          <w:b/>
          <w:lang w:val="en-US"/>
        </w:rPr>
        <w:t xml:space="preserve"> </w:t>
      </w:r>
    </w:p>
    <w:p w14:paraId="7B05F373" w14:textId="155012A3" w:rsidR="00E77CD8" w:rsidRPr="003D40FA" w:rsidRDefault="006124CC" w:rsidP="00E52E4F">
      <w:pPr>
        <w:spacing w:line="276" w:lineRule="auto"/>
        <w:rPr>
          <w:lang w:val="en-US"/>
        </w:rPr>
      </w:pPr>
      <w:r w:rsidRPr="003D3DF2">
        <w:rPr>
          <w:b/>
          <w:lang w:val="en-US"/>
        </w:rPr>
        <w:t xml:space="preserve"> </w:t>
      </w:r>
      <w:r w:rsidR="0071618B" w:rsidRPr="005B411D">
        <w:rPr>
          <w:lang w:val="en-US"/>
        </w:rPr>
        <w:t xml:space="preserve">The BPN registration system now covers the vast majority of the country, </w:t>
      </w:r>
      <w:r w:rsidR="002465F4" w:rsidRPr="00F413CA">
        <w:rPr>
          <w:lang w:val="en-US"/>
        </w:rPr>
        <w:t xml:space="preserve">including the totality </w:t>
      </w:r>
      <w:r w:rsidR="003274AF" w:rsidRPr="009975A1">
        <w:rPr>
          <w:lang w:val="en-US"/>
        </w:rPr>
        <w:t>of urban</w:t>
      </w:r>
      <w:r w:rsidR="0071618B" w:rsidRPr="009975A1">
        <w:rPr>
          <w:lang w:val="en-US"/>
        </w:rPr>
        <w:t xml:space="preserve"> areas</w:t>
      </w:r>
      <w:r w:rsidR="00971B88" w:rsidRPr="008A3C06">
        <w:rPr>
          <w:lang w:val="en-US"/>
        </w:rPr>
        <w:t xml:space="preserve"> and is</w:t>
      </w:r>
      <w:r w:rsidR="0071618B" w:rsidRPr="00B5752B">
        <w:rPr>
          <w:lang w:val="en-US"/>
        </w:rPr>
        <w:t xml:space="preserve"> </w:t>
      </w:r>
      <w:r w:rsidR="009A6516" w:rsidRPr="0029780C">
        <w:rPr>
          <w:lang w:val="en-US"/>
        </w:rPr>
        <w:t>largely computerized</w:t>
      </w:r>
      <w:r w:rsidR="00971B88" w:rsidRPr="0029780C">
        <w:rPr>
          <w:lang w:val="en-US"/>
        </w:rPr>
        <w:t xml:space="preserve">. </w:t>
      </w:r>
      <w:r w:rsidR="002465F4" w:rsidRPr="0029780C">
        <w:rPr>
          <w:lang w:val="en-US"/>
        </w:rPr>
        <w:t xml:space="preserve"> </w:t>
      </w:r>
      <w:r w:rsidR="0071618B" w:rsidRPr="00280F2F">
        <w:rPr>
          <w:lang w:val="en-US"/>
        </w:rPr>
        <w:t xml:space="preserve"> </w:t>
      </w:r>
      <w:r w:rsidR="00F0557E" w:rsidRPr="00D57D92">
        <w:rPr>
          <w:lang w:val="en-US"/>
        </w:rPr>
        <w:t>.  However, in practice lenders note that there are</w:t>
      </w:r>
      <w:r w:rsidR="002465F4" w:rsidRPr="00F53D13">
        <w:rPr>
          <w:lang w:val="en-US"/>
        </w:rPr>
        <w:t xml:space="preserve"> long delays</w:t>
      </w:r>
      <w:proofErr w:type="gramStart"/>
      <w:r w:rsidR="00775EAA" w:rsidRPr="005D6B65">
        <w:rPr>
          <w:lang w:val="en-US"/>
        </w:rPr>
        <w:t xml:space="preserve">, </w:t>
      </w:r>
      <w:r w:rsidR="00775EAA" w:rsidRPr="00934AF5">
        <w:rPr>
          <w:lang w:val="en-US"/>
        </w:rPr>
        <w:t>,</w:t>
      </w:r>
      <w:proofErr w:type="gramEnd"/>
      <w:r w:rsidR="00775EAA" w:rsidRPr="00934AF5">
        <w:rPr>
          <w:lang w:val="en-US"/>
        </w:rPr>
        <w:t xml:space="preserve"> </w:t>
      </w:r>
      <w:r w:rsidR="00F0557E" w:rsidRPr="00DE0FEE">
        <w:rPr>
          <w:lang w:val="en-US"/>
        </w:rPr>
        <w:t>due</w:t>
      </w:r>
      <w:r w:rsidR="00F403AD" w:rsidRPr="00DE0FEE">
        <w:rPr>
          <w:lang w:val="en-US"/>
        </w:rPr>
        <w:t xml:space="preserve"> to</w:t>
      </w:r>
      <w:r w:rsidR="00775EAA" w:rsidRPr="00DE0FEE">
        <w:rPr>
          <w:lang w:val="en-US"/>
        </w:rPr>
        <w:t xml:space="preserve"> </w:t>
      </w:r>
      <w:r w:rsidR="002465F4" w:rsidRPr="007C4C85">
        <w:rPr>
          <w:lang w:val="en-US"/>
        </w:rPr>
        <w:t xml:space="preserve">operational </w:t>
      </w:r>
      <w:r w:rsidR="00971B88" w:rsidRPr="00853832">
        <w:rPr>
          <w:lang w:val="en-US"/>
        </w:rPr>
        <w:t>bottlenecks.</w:t>
      </w:r>
      <w:r w:rsidR="00E77CD8" w:rsidRPr="00853832">
        <w:rPr>
          <w:lang w:val="en-US"/>
        </w:rPr>
        <w:t xml:space="preserve"> </w:t>
      </w:r>
      <w:r w:rsidR="00971B88" w:rsidRPr="00EC3BF6">
        <w:rPr>
          <w:lang w:val="en-US"/>
        </w:rPr>
        <w:t xml:space="preserve">The same issues result in </w:t>
      </w:r>
      <w:r w:rsidR="00E77CD8" w:rsidRPr="00EC3BF6">
        <w:rPr>
          <w:lang w:val="en-US"/>
        </w:rPr>
        <w:t xml:space="preserve">“hidden cost”, which may represent a widespread practice where land is being converted </w:t>
      </w:r>
      <w:r w:rsidR="00E77CD8" w:rsidRPr="00B31509">
        <w:rPr>
          <w:lang w:val="en-US"/>
        </w:rPr>
        <w:t>to urban usage.</w:t>
      </w:r>
      <w:r w:rsidR="00E77CD8" w:rsidRPr="00F82E1B">
        <w:rPr>
          <w:lang w:val="en-US"/>
        </w:rPr>
        <w:t xml:space="preserve"> </w:t>
      </w:r>
      <w:r w:rsidR="00E77CD8" w:rsidRPr="00CD18CA">
        <w:rPr>
          <w:lang w:val="en-US"/>
        </w:rPr>
        <w:t xml:space="preserve"> </w:t>
      </w:r>
    </w:p>
    <w:p w14:paraId="2E596CCD" w14:textId="159B0AEE" w:rsidR="002465F4" w:rsidRPr="003D3DF2" w:rsidRDefault="00E77CD8" w:rsidP="00E52E4F">
      <w:pPr>
        <w:spacing w:line="276" w:lineRule="auto"/>
        <w:rPr>
          <w:lang w:val="en-US"/>
        </w:rPr>
      </w:pPr>
      <w:r w:rsidRPr="003D40FA">
        <w:rPr>
          <w:lang w:val="en-US"/>
        </w:rPr>
        <w:t xml:space="preserve">Land </w:t>
      </w:r>
      <w:r w:rsidRPr="00AC35DD">
        <w:rPr>
          <w:lang w:val="en-US"/>
        </w:rPr>
        <w:t xml:space="preserve">aggregation and sub-division pose </w:t>
      </w:r>
      <w:r w:rsidR="003D3DF2" w:rsidRPr="00024367">
        <w:rPr>
          <w:lang w:val="en-US"/>
        </w:rPr>
        <w:t>problems</w:t>
      </w:r>
      <w:r w:rsidR="00744E8A">
        <w:rPr>
          <w:lang w:val="en-US"/>
        </w:rPr>
        <w:t xml:space="preserve">, which </w:t>
      </w:r>
      <w:r w:rsidR="00744E8A" w:rsidRPr="00024367">
        <w:rPr>
          <w:lang w:val="en-US"/>
        </w:rPr>
        <w:t>hinders</w:t>
      </w:r>
      <w:r w:rsidRPr="00024367">
        <w:rPr>
          <w:lang w:val="en-US"/>
        </w:rPr>
        <w:t xml:space="preserve"> large </w:t>
      </w:r>
      <w:r w:rsidRPr="001611AB">
        <w:rPr>
          <w:lang w:val="en-US"/>
        </w:rPr>
        <w:t xml:space="preserve">scale housing developments that could better </w:t>
      </w:r>
      <w:r w:rsidR="003D3DF2" w:rsidRPr="00E51B32">
        <w:rPr>
          <w:lang w:val="en-US"/>
        </w:rPr>
        <w:t>achieve affordable</w:t>
      </w:r>
      <w:r w:rsidRPr="00F40A3E">
        <w:rPr>
          <w:lang w:val="en-US"/>
        </w:rPr>
        <w:t xml:space="preserve"> pr</w:t>
      </w:r>
      <w:r w:rsidRPr="003D3DF2">
        <w:rPr>
          <w:lang w:val="en-US"/>
        </w:rPr>
        <w:t xml:space="preserve">ices. </w:t>
      </w:r>
      <w:r w:rsidR="003D3DF2" w:rsidRPr="003D3DF2">
        <w:rPr>
          <w:lang w:val="en-US"/>
        </w:rPr>
        <w:t>Another major</w:t>
      </w:r>
      <w:r w:rsidRPr="003D3DF2">
        <w:rPr>
          <w:lang w:val="en-US"/>
        </w:rPr>
        <w:t xml:space="preserve"> issue is</w:t>
      </w:r>
    </w:p>
    <w:p w14:paraId="6EAD232E" w14:textId="50622C70" w:rsidR="006124CC" w:rsidRPr="003D3DF2" w:rsidRDefault="002465F4" w:rsidP="00E52E4F">
      <w:pPr>
        <w:spacing w:line="276" w:lineRule="auto"/>
        <w:rPr>
          <w:lang w:val="en-US"/>
        </w:rPr>
      </w:pPr>
      <w:proofErr w:type="gramStart"/>
      <w:r w:rsidRPr="003D3DF2">
        <w:rPr>
          <w:lang w:val="en-US"/>
        </w:rPr>
        <w:t>the</w:t>
      </w:r>
      <w:proofErr w:type="gramEnd"/>
      <w:r w:rsidR="00D10060" w:rsidRPr="003D3DF2">
        <w:rPr>
          <w:lang w:val="en-US"/>
        </w:rPr>
        <w:t xml:space="preserve"> high </w:t>
      </w:r>
      <w:r w:rsidRPr="003D3DF2">
        <w:rPr>
          <w:lang w:val="en-US"/>
        </w:rPr>
        <w:t xml:space="preserve">level </w:t>
      </w:r>
      <w:r w:rsidR="003274AF" w:rsidRPr="003D3DF2">
        <w:rPr>
          <w:lang w:val="en-US"/>
        </w:rPr>
        <w:t>of transaction</w:t>
      </w:r>
      <w:r w:rsidR="0071618B" w:rsidRPr="003D3DF2">
        <w:rPr>
          <w:lang w:val="en-US"/>
        </w:rPr>
        <w:t xml:space="preserve"> costs</w:t>
      </w:r>
      <w:r w:rsidR="00BE11CF" w:rsidRPr="003D3DF2">
        <w:rPr>
          <w:lang w:val="en-US"/>
        </w:rPr>
        <w:t xml:space="preserve">, which are in the range of </w:t>
      </w:r>
      <w:r w:rsidR="003274AF" w:rsidRPr="003D3DF2">
        <w:rPr>
          <w:lang w:val="en-US"/>
        </w:rPr>
        <w:t>1</w:t>
      </w:r>
      <w:r w:rsidR="00F403AD" w:rsidRPr="003D3DF2">
        <w:rPr>
          <w:lang w:val="en-US"/>
        </w:rPr>
        <w:t>2</w:t>
      </w:r>
      <w:r w:rsidR="003274AF" w:rsidRPr="003D3DF2">
        <w:rPr>
          <w:lang w:val="en-US"/>
        </w:rPr>
        <w:t>%</w:t>
      </w:r>
      <w:r w:rsidRPr="003D3DF2">
        <w:rPr>
          <w:lang w:val="en-US"/>
        </w:rPr>
        <w:t xml:space="preserve">. </w:t>
      </w:r>
      <w:r w:rsidR="003274AF" w:rsidRPr="003D3DF2">
        <w:rPr>
          <w:lang w:val="en-US"/>
        </w:rPr>
        <w:t>It is detrimental</w:t>
      </w:r>
      <w:r w:rsidR="0071618B" w:rsidRPr="003D3DF2">
        <w:rPr>
          <w:lang w:val="en-US"/>
        </w:rPr>
        <w:t xml:space="preserve"> to the liquidity and the transparency of the real estate market, </w:t>
      </w:r>
      <w:r w:rsidR="003274AF" w:rsidRPr="003D3DF2">
        <w:rPr>
          <w:lang w:val="en-US"/>
        </w:rPr>
        <w:t>induces</w:t>
      </w:r>
      <w:r w:rsidR="0071618B" w:rsidRPr="003D3DF2">
        <w:rPr>
          <w:lang w:val="en-US"/>
        </w:rPr>
        <w:t xml:space="preserve"> legally unsecured </w:t>
      </w:r>
      <w:r w:rsidR="003274AF" w:rsidRPr="003D3DF2">
        <w:rPr>
          <w:lang w:val="en-US"/>
        </w:rPr>
        <w:t>practices</w:t>
      </w:r>
      <w:r w:rsidR="009006F0" w:rsidRPr="003D3DF2">
        <w:rPr>
          <w:lang w:val="en-US"/>
        </w:rPr>
        <w:t xml:space="preserve">, and is an incentive to informalities. </w:t>
      </w:r>
      <w:r w:rsidR="00BE11CF" w:rsidRPr="003D3DF2">
        <w:rPr>
          <w:lang w:val="en-US"/>
        </w:rPr>
        <w:t xml:space="preserve">.  This, though, lowers the maximum amount that can be loaned on the property. </w:t>
      </w:r>
    </w:p>
    <w:p w14:paraId="032B9061" w14:textId="77777777" w:rsidR="00BE11CF" w:rsidRPr="003D3DF2" w:rsidRDefault="00BE11CF" w:rsidP="00E52E4F">
      <w:pPr>
        <w:spacing w:line="276" w:lineRule="auto"/>
        <w:rPr>
          <w:b/>
          <w:lang w:val="en-US"/>
        </w:rPr>
      </w:pPr>
    </w:p>
    <w:p w14:paraId="394E85AC" w14:textId="0EAFF4B7" w:rsidR="006124CC" w:rsidRPr="003D3DF2" w:rsidRDefault="006124CC" w:rsidP="00E52E4F">
      <w:pPr>
        <w:numPr>
          <w:ilvl w:val="0"/>
          <w:numId w:val="3"/>
        </w:numPr>
        <w:spacing w:line="276" w:lineRule="auto"/>
        <w:rPr>
          <w:lang w:val="en-US"/>
        </w:rPr>
      </w:pPr>
      <w:r w:rsidRPr="003D3DF2">
        <w:rPr>
          <w:b/>
          <w:lang w:val="en-US"/>
        </w:rPr>
        <w:t xml:space="preserve">Mortgage rights </w:t>
      </w:r>
      <w:r w:rsidR="00BE11CF" w:rsidRPr="003D3DF2">
        <w:rPr>
          <w:b/>
          <w:lang w:val="en-US"/>
        </w:rPr>
        <w:t>have gotten stronger</w:t>
      </w:r>
      <w:r w:rsidR="00453C48" w:rsidRPr="003D3DF2">
        <w:rPr>
          <w:b/>
          <w:lang w:val="en-US"/>
        </w:rPr>
        <w:t xml:space="preserve">. </w:t>
      </w:r>
      <w:r w:rsidR="00453C48" w:rsidRPr="003D3DF2">
        <w:rPr>
          <w:lang w:val="en-US"/>
        </w:rPr>
        <w:t>A</w:t>
      </w:r>
      <w:r w:rsidRPr="003D3DF2">
        <w:rPr>
          <w:lang w:val="en-US"/>
        </w:rPr>
        <w:t xml:space="preserve"> 1996 law provides</w:t>
      </w:r>
      <w:r w:rsidR="00D10060" w:rsidRPr="003D3DF2">
        <w:rPr>
          <w:lang w:val="en-US"/>
        </w:rPr>
        <w:t xml:space="preserve"> in theory the required </w:t>
      </w:r>
      <w:r w:rsidRPr="003D3DF2">
        <w:rPr>
          <w:lang w:val="en-US"/>
        </w:rPr>
        <w:t>legal security to lenders.</w:t>
      </w:r>
      <w:r w:rsidR="0071618B" w:rsidRPr="003D3DF2">
        <w:rPr>
          <w:lang w:val="en-US"/>
        </w:rPr>
        <w:t xml:space="preserve"> </w:t>
      </w:r>
      <w:r w:rsidRPr="003D3DF2">
        <w:rPr>
          <w:lang w:val="en-US"/>
        </w:rPr>
        <w:t>Thank</w:t>
      </w:r>
      <w:r w:rsidR="0071618B" w:rsidRPr="003D3DF2">
        <w:rPr>
          <w:lang w:val="en-US"/>
        </w:rPr>
        <w:t>s</w:t>
      </w:r>
      <w:r w:rsidRPr="003D3DF2">
        <w:rPr>
          <w:lang w:val="en-US"/>
        </w:rPr>
        <w:t xml:space="preserve"> </w:t>
      </w:r>
      <w:r w:rsidR="00D10060" w:rsidRPr="003D3DF2">
        <w:rPr>
          <w:lang w:val="en-US"/>
        </w:rPr>
        <w:t>to the</w:t>
      </w:r>
      <w:r w:rsidRPr="003D3DF2">
        <w:rPr>
          <w:lang w:val="en-US"/>
        </w:rPr>
        <w:t xml:space="preserve"> legally stron</w:t>
      </w:r>
      <w:r w:rsidR="00744E8A">
        <w:rPr>
          <w:lang w:val="en-US"/>
        </w:rPr>
        <w:t>g creation principle</w:t>
      </w:r>
      <w:r w:rsidRPr="003D3DF2">
        <w:rPr>
          <w:lang w:val="en-US"/>
        </w:rPr>
        <w:t xml:space="preserve">- equivalent to a judicial decision-, their </w:t>
      </w:r>
      <w:r w:rsidR="0038155E" w:rsidRPr="003D3DF2">
        <w:rPr>
          <w:lang w:val="en-US"/>
        </w:rPr>
        <w:t>enforcement is</w:t>
      </w:r>
      <w:r w:rsidRPr="003D3DF2">
        <w:rPr>
          <w:lang w:val="en-US"/>
        </w:rPr>
        <w:t xml:space="preserve"> in principle efficient, since mortgagees has the right of direct power of sale in case of default. Debtors’ rights are in the same time safeguarded by the obligation to sell repossessed properties by public auction. </w:t>
      </w:r>
      <w:r w:rsidR="00D10060" w:rsidRPr="003D3DF2">
        <w:rPr>
          <w:lang w:val="en-US"/>
        </w:rPr>
        <w:t>In practice, however, lenders continue to often choose a judicial route to circumvent debtors’ resistance. In addition, because of the cost of registering mortgages</w:t>
      </w:r>
      <w:r w:rsidR="00CF6C59" w:rsidRPr="003D3DF2">
        <w:rPr>
          <w:lang w:val="en-US"/>
        </w:rPr>
        <w:t>, financial</w:t>
      </w:r>
      <w:r w:rsidR="00D10060" w:rsidRPr="003D3DF2">
        <w:rPr>
          <w:lang w:val="en-US"/>
        </w:rPr>
        <w:t xml:space="preserve"> institutions tend to accept simple powers of attorney that allow them to only formalize a security right </w:t>
      </w:r>
      <w:r w:rsidR="00D04D75" w:rsidRPr="003D3DF2">
        <w:rPr>
          <w:lang w:val="en-US"/>
        </w:rPr>
        <w:t>when</w:t>
      </w:r>
      <w:r w:rsidR="00D10060" w:rsidRPr="003D3DF2">
        <w:rPr>
          <w:lang w:val="en-US"/>
        </w:rPr>
        <w:t xml:space="preserve"> it need</w:t>
      </w:r>
      <w:r w:rsidR="00D04D75" w:rsidRPr="003D3DF2">
        <w:rPr>
          <w:lang w:val="en-US"/>
        </w:rPr>
        <w:t>s</w:t>
      </w:r>
      <w:r w:rsidR="00D10060" w:rsidRPr="003D3DF2">
        <w:rPr>
          <w:lang w:val="en-US"/>
        </w:rPr>
        <w:t xml:space="preserve"> to be enforced. </w:t>
      </w:r>
      <w:r w:rsidR="00072212" w:rsidRPr="003D3DF2">
        <w:rPr>
          <w:lang w:val="en-US"/>
        </w:rPr>
        <w:t xml:space="preserve"> Banks will generally try many </w:t>
      </w:r>
      <w:r w:rsidR="00072212" w:rsidRPr="003D3DF2">
        <w:rPr>
          <w:lang w:val="en-US"/>
        </w:rPr>
        <w:lastRenderedPageBreak/>
        <w:t xml:space="preserve">alternatives to foreclosure such as alternative mortgage payment collection and social pressure on the homeowner. </w:t>
      </w:r>
      <w:r w:rsidR="00F26DB9" w:rsidRPr="003D3DF2">
        <w:rPr>
          <w:lang w:val="en-US"/>
        </w:rPr>
        <w:t xml:space="preserve"> This contributes to relatively low delinquency and default rates</w:t>
      </w:r>
    </w:p>
    <w:p w14:paraId="146AE650" w14:textId="77777777" w:rsidR="00BE11CF" w:rsidRPr="003D3DF2" w:rsidRDefault="00BE11CF" w:rsidP="00E52E4F">
      <w:pPr>
        <w:spacing w:line="276" w:lineRule="auto"/>
        <w:ind w:left="504"/>
        <w:rPr>
          <w:lang w:val="en-US"/>
        </w:rPr>
      </w:pPr>
    </w:p>
    <w:p w14:paraId="2EE6F86A" w14:textId="07E32CAB" w:rsidR="00BE11CF" w:rsidRPr="00FD6E17" w:rsidRDefault="006124CC" w:rsidP="00E52E4F">
      <w:pPr>
        <w:numPr>
          <w:ilvl w:val="0"/>
          <w:numId w:val="3"/>
        </w:numPr>
        <w:spacing w:line="276" w:lineRule="auto"/>
        <w:ind w:firstLine="505"/>
        <w:rPr>
          <w:b/>
          <w:lang w:val="en-US"/>
        </w:rPr>
      </w:pPr>
      <w:r w:rsidRPr="003D3DF2">
        <w:rPr>
          <w:b/>
          <w:lang w:val="en-US"/>
        </w:rPr>
        <w:t xml:space="preserve">A </w:t>
      </w:r>
      <w:r w:rsidR="00587E40" w:rsidRPr="003D3DF2">
        <w:rPr>
          <w:b/>
          <w:lang w:val="en-US"/>
        </w:rPr>
        <w:t xml:space="preserve">partial </w:t>
      </w:r>
      <w:r w:rsidR="00F403AD" w:rsidRPr="003D3DF2">
        <w:rPr>
          <w:b/>
          <w:lang w:val="en-US"/>
        </w:rPr>
        <w:t>debtor information</w:t>
      </w:r>
      <w:r w:rsidRPr="003D3DF2">
        <w:rPr>
          <w:b/>
          <w:lang w:val="en-US"/>
        </w:rPr>
        <w:t xml:space="preserve"> </w:t>
      </w:r>
      <w:r w:rsidR="00C12248" w:rsidRPr="003D3DF2">
        <w:rPr>
          <w:b/>
          <w:lang w:val="en-US"/>
        </w:rPr>
        <w:t>system</w:t>
      </w:r>
      <w:r w:rsidRPr="003D3DF2">
        <w:rPr>
          <w:b/>
          <w:lang w:val="en-US"/>
        </w:rPr>
        <w:t xml:space="preserve"> is now in place. </w:t>
      </w:r>
      <w:r w:rsidRPr="003D3DF2">
        <w:rPr>
          <w:lang w:val="en-US"/>
        </w:rPr>
        <w:t>B</w:t>
      </w:r>
      <w:r w:rsidR="003274AF" w:rsidRPr="003D3DF2">
        <w:rPr>
          <w:lang w:val="en-US"/>
        </w:rPr>
        <w:t>an</w:t>
      </w:r>
      <w:r w:rsidRPr="003D3DF2">
        <w:rPr>
          <w:lang w:val="en-US"/>
        </w:rPr>
        <w:t xml:space="preserve">k of </w:t>
      </w:r>
      <w:r w:rsidR="00F403AD" w:rsidRPr="003D3DF2">
        <w:rPr>
          <w:lang w:val="en-US"/>
        </w:rPr>
        <w:t>Indonesia established</w:t>
      </w:r>
      <w:r w:rsidRPr="003D3DF2">
        <w:rPr>
          <w:lang w:val="en-US"/>
        </w:rPr>
        <w:t xml:space="preserve"> in 2006 a credit information bureau – BIK: Biro </w:t>
      </w:r>
      <w:proofErr w:type="spellStart"/>
      <w:r w:rsidRPr="003D3DF2">
        <w:rPr>
          <w:lang w:val="en-US"/>
        </w:rPr>
        <w:t>Informasi</w:t>
      </w:r>
      <w:proofErr w:type="spellEnd"/>
      <w:r w:rsidRPr="003D3DF2">
        <w:rPr>
          <w:lang w:val="en-US"/>
        </w:rPr>
        <w:t xml:space="preserve"> </w:t>
      </w:r>
      <w:proofErr w:type="spellStart"/>
      <w:r w:rsidRPr="003D3DF2">
        <w:rPr>
          <w:lang w:val="en-US"/>
        </w:rPr>
        <w:t>Kredit</w:t>
      </w:r>
      <w:proofErr w:type="spellEnd"/>
      <w:r w:rsidR="003274AF" w:rsidRPr="003D3DF2">
        <w:rPr>
          <w:lang w:val="en-US"/>
        </w:rPr>
        <w:t>-, the cornerstone of Debtor Information System (SID) network. Al</w:t>
      </w:r>
      <w:r w:rsidRPr="003D3DF2">
        <w:rPr>
          <w:lang w:val="en-US"/>
        </w:rPr>
        <w:t xml:space="preserve">l commercial banks and some large finance companies </w:t>
      </w:r>
      <w:r w:rsidR="00587E40" w:rsidRPr="003D3DF2">
        <w:rPr>
          <w:lang w:val="en-US"/>
        </w:rPr>
        <w:t>are expected to participate</w:t>
      </w:r>
      <w:r w:rsidRPr="003D3DF2">
        <w:rPr>
          <w:lang w:val="en-US"/>
        </w:rPr>
        <w:t xml:space="preserve"> in </w:t>
      </w:r>
      <w:r w:rsidR="00F403AD" w:rsidRPr="003D3DF2">
        <w:rPr>
          <w:lang w:val="en-US"/>
        </w:rPr>
        <w:t>the scheme</w:t>
      </w:r>
      <w:r w:rsidRPr="003D3DF2">
        <w:rPr>
          <w:lang w:val="en-US"/>
        </w:rPr>
        <w:t xml:space="preserve">. All loans must be reported to it, without any declarative threshold. BIK collects and provides both positive and negative information, as well as repayment history. On line access is </w:t>
      </w:r>
      <w:r w:rsidR="00D04D75" w:rsidRPr="003D3DF2">
        <w:rPr>
          <w:lang w:val="en-US"/>
        </w:rPr>
        <w:t>available. Two</w:t>
      </w:r>
      <w:r w:rsidRPr="003D3DF2">
        <w:rPr>
          <w:lang w:val="en-US"/>
        </w:rPr>
        <w:t xml:space="preserve"> main shortcomings limit however the system efficiency: (</w:t>
      </w:r>
      <w:proofErr w:type="spellStart"/>
      <w:r w:rsidRPr="003D3DF2">
        <w:rPr>
          <w:lang w:val="en-US"/>
        </w:rPr>
        <w:t>i</w:t>
      </w:r>
      <w:proofErr w:type="spellEnd"/>
      <w:r w:rsidRPr="003D3DF2">
        <w:rPr>
          <w:lang w:val="en-US"/>
        </w:rPr>
        <w:t xml:space="preserve">) </w:t>
      </w:r>
      <w:r w:rsidR="008E7B04" w:rsidRPr="003D3DF2">
        <w:rPr>
          <w:lang w:val="en-US"/>
        </w:rPr>
        <w:t xml:space="preserve">it does not </w:t>
      </w:r>
      <w:r w:rsidR="00D04D75" w:rsidRPr="003D3DF2">
        <w:rPr>
          <w:lang w:val="en-US"/>
        </w:rPr>
        <w:t>include</w:t>
      </w:r>
      <w:r w:rsidR="00F403AD" w:rsidRPr="003D3DF2">
        <w:rPr>
          <w:lang w:val="en-US"/>
        </w:rPr>
        <w:t xml:space="preserve"> </w:t>
      </w:r>
      <w:proofErr w:type="spellStart"/>
      <w:r w:rsidR="00F403AD" w:rsidRPr="003D3DF2">
        <w:rPr>
          <w:lang w:val="en-US"/>
        </w:rPr>
        <w:t>multifinance</w:t>
      </w:r>
      <w:proofErr w:type="spellEnd"/>
      <w:r w:rsidRPr="003D3DF2">
        <w:rPr>
          <w:lang w:val="en-US"/>
        </w:rPr>
        <w:t xml:space="preserve"> companies and micro finance </w:t>
      </w:r>
      <w:r w:rsidR="008934E7" w:rsidRPr="003D3DF2">
        <w:rPr>
          <w:lang w:val="en-US"/>
        </w:rPr>
        <w:t>institutions;</w:t>
      </w:r>
      <w:r w:rsidR="00D04D75" w:rsidRPr="003D3DF2">
        <w:rPr>
          <w:rStyle w:val="FootnoteReference"/>
          <w:lang w:val="en-US"/>
        </w:rPr>
        <w:footnoteReference w:id="5"/>
      </w:r>
      <w:r w:rsidR="008E7B04" w:rsidRPr="003D3DF2">
        <w:rPr>
          <w:lang w:val="en-US"/>
        </w:rPr>
        <w:t xml:space="preserve"> </w:t>
      </w:r>
      <w:r w:rsidRPr="003D3DF2">
        <w:rPr>
          <w:lang w:val="en-US"/>
        </w:rPr>
        <w:t>(ii</w:t>
      </w:r>
      <w:r w:rsidR="00F403AD" w:rsidRPr="005B411D">
        <w:rPr>
          <w:lang w:val="en-US"/>
        </w:rPr>
        <w:t xml:space="preserve">) </w:t>
      </w:r>
      <w:r w:rsidR="008934E7" w:rsidRPr="005B411D">
        <w:rPr>
          <w:lang w:val="en-US"/>
        </w:rPr>
        <w:t xml:space="preserve">its </w:t>
      </w:r>
      <w:r w:rsidR="00D04D75" w:rsidRPr="00F413CA">
        <w:rPr>
          <w:lang w:val="en-US"/>
        </w:rPr>
        <w:t>o</w:t>
      </w:r>
      <w:r w:rsidR="00F403AD" w:rsidRPr="009975A1">
        <w:rPr>
          <w:lang w:val="en-US"/>
        </w:rPr>
        <w:t>perational capacity</w:t>
      </w:r>
      <w:r w:rsidR="008934E7" w:rsidRPr="009975A1">
        <w:rPr>
          <w:lang w:val="en-US"/>
        </w:rPr>
        <w:t xml:space="preserve"> is insufficient</w:t>
      </w:r>
      <w:r w:rsidRPr="008A3C06">
        <w:rPr>
          <w:lang w:val="en-US"/>
        </w:rPr>
        <w:t xml:space="preserve">. </w:t>
      </w:r>
      <w:r w:rsidR="008E7B04" w:rsidRPr="008A3C06">
        <w:rPr>
          <w:lang w:val="en-US"/>
        </w:rPr>
        <w:t>The extension of the system to no</w:t>
      </w:r>
      <w:r w:rsidR="00F26DB9" w:rsidRPr="00DB6BD5">
        <w:rPr>
          <w:lang w:val="en-US"/>
        </w:rPr>
        <w:t>n-</w:t>
      </w:r>
      <w:r w:rsidR="008E7B04" w:rsidRPr="00B10831">
        <w:rPr>
          <w:lang w:val="en-US"/>
        </w:rPr>
        <w:t>bank financial institutions is being contemp</w:t>
      </w:r>
      <w:r w:rsidR="008E7B04" w:rsidRPr="00A57F20">
        <w:rPr>
          <w:lang w:val="en-US"/>
        </w:rPr>
        <w:t>lated.</w:t>
      </w:r>
    </w:p>
    <w:p w14:paraId="6DD4B8D8" w14:textId="77777777" w:rsidR="00BE11CF" w:rsidRPr="003D3DF2" w:rsidRDefault="00BE11CF" w:rsidP="00E52E4F">
      <w:pPr>
        <w:spacing w:line="276" w:lineRule="auto"/>
        <w:rPr>
          <w:b/>
          <w:lang w:val="en-US"/>
        </w:rPr>
      </w:pPr>
    </w:p>
    <w:p w14:paraId="14C43B78" w14:textId="77777777" w:rsidR="00177CF2" w:rsidRPr="00A83CBE" w:rsidRDefault="00177CF2" w:rsidP="00E52E4F">
      <w:pPr>
        <w:numPr>
          <w:ilvl w:val="0"/>
          <w:numId w:val="3"/>
        </w:numPr>
        <w:spacing w:line="276" w:lineRule="auto"/>
        <w:rPr>
          <w:b/>
          <w:lang w:val="en-US"/>
        </w:rPr>
      </w:pPr>
      <w:r w:rsidRPr="005B411D">
        <w:rPr>
          <w:b/>
          <w:lang w:val="en-US"/>
        </w:rPr>
        <w:t>The a</w:t>
      </w:r>
      <w:r w:rsidR="003274AF" w:rsidRPr="005B411D">
        <w:rPr>
          <w:b/>
          <w:lang w:val="en-US"/>
        </w:rPr>
        <w:t>ppraisal</w:t>
      </w:r>
      <w:r w:rsidRPr="00F413CA">
        <w:rPr>
          <w:b/>
          <w:lang w:val="en-US"/>
        </w:rPr>
        <w:t xml:space="preserve"> industry organization </w:t>
      </w:r>
      <w:r w:rsidR="001F3E74" w:rsidRPr="009975A1">
        <w:rPr>
          <w:b/>
          <w:lang w:val="en-US"/>
        </w:rPr>
        <w:t>supports</w:t>
      </w:r>
      <w:r w:rsidRPr="009975A1">
        <w:rPr>
          <w:b/>
          <w:lang w:val="en-US"/>
        </w:rPr>
        <w:t xml:space="preserve"> its credibility. </w:t>
      </w:r>
      <w:r w:rsidRPr="008A3C06">
        <w:rPr>
          <w:lang w:val="en-US"/>
        </w:rPr>
        <w:t>Either a</w:t>
      </w:r>
      <w:r w:rsidR="001F3E74" w:rsidRPr="008A3C06">
        <w:rPr>
          <w:lang w:val="en-US"/>
        </w:rPr>
        <w:t>s</w:t>
      </w:r>
      <w:r w:rsidRPr="00DB6BD5">
        <w:rPr>
          <w:lang w:val="en-US"/>
        </w:rPr>
        <w:t xml:space="preserve"> a result </w:t>
      </w:r>
      <w:r w:rsidR="008934E7" w:rsidRPr="00DB6BD5">
        <w:rPr>
          <w:lang w:val="en-US"/>
        </w:rPr>
        <w:t>of formal</w:t>
      </w:r>
      <w:r w:rsidRPr="00B10831">
        <w:rPr>
          <w:lang w:val="en-US"/>
        </w:rPr>
        <w:t xml:space="preserve"> regulation </w:t>
      </w:r>
      <w:r w:rsidRPr="003D3DF2">
        <w:rPr>
          <w:rStyle w:val="FootnoteReference"/>
          <w:lang w:val="en-US"/>
        </w:rPr>
        <w:footnoteReference w:id="6"/>
      </w:r>
      <w:r w:rsidRPr="003D3DF2">
        <w:rPr>
          <w:lang w:val="en-US"/>
        </w:rPr>
        <w:t xml:space="preserve">or self-regulation, </w:t>
      </w:r>
      <w:r w:rsidR="00B63116" w:rsidRPr="003D3DF2">
        <w:rPr>
          <w:lang w:val="en-US"/>
        </w:rPr>
        <w:t>licensed</w:t>
      </w:r>
      <w:r w:rsidRPr="005B411D">
        <w:rPr>
          <w:lang w:val="en-US"/>
        </w:rPr>
        <w:t xml:space="preserve"> appraisers must comply with   </w:t>
      </w:r>
      <w:r w:rsidR="00B63116" w:rsidRPr="00F413CA">
        <w:rPr>
          <w:lang w:val="en-US"/>
        </w:rPr>
        <w:t xml:space="preserve">professional </w:t>
      </w:r>
      <w:r w:rsidR="008934E7" w:rsidRPr="009975A1">
        <w:rPr>
          <w:lang w:val="en-US"/>
        </w:rPr>
        <w:t>standards,</w:t>
      </w:r>
      <w:r w:rsidR="00B63116" w:rsidRPr="009975A1">
        <w:rPr>
          <w:lang w:val="en-US"/>
        </w:rPr>
        <w:t xml:space="preserve"> </w:t>
      </w:r>
      <w:r w:rsidRPr="008A3C06">
        <w:rPr>
          <w:lang w:val="en-US"/>
        </w:rPr>
        <w:t xml:space="preserve">selective </w:t>
      </w:r>
      <w:r w:rsidR="00B63116" w:rsidRPr="008A3C06">
        <w:rPr>
          <w:lang w:val="en-US"/>
        </w:rPr>
        <w:t xml:space="preserve">certification </w:t>
      </w:r>
      <w:r w:rsidRPr="00DB6BD5">
        <w:rPr>
          <w:lang w:val="en-US"/>
        </w:rPr>
        <w:t>processes</w:t>
      </w:r>
      <w:r w:rsidR="008934E7" w:rsidRPr="00DB6BD5">
        <w:rPr>
          <w:lang w:val="en-US"/>
        </w:rPr>
        <w:t>, and ethics</w:t>
      </w:r>
      <w:r w:rsidR="00B63116" w:rsidRPr="00B10831">
        <w:rPr>
          <w:lang w:val="en-US"/>
        </w:rPr>
        <w:t xml:space="preserve"> rules. The main</w:t>
      </w:r>
      <w:r w:rsidR="00B63116" w:rsidRPr="00A57F20">
        <w:rPr>
          <w:lang w:val="en-US"/>
        </w:rPr>
        <w:t xml:space="preserve"> challenge to the </w:t>
      </w:r>
      <w:r w:rsidR="00A77105" w:rsidRPr="00B5752B">
        <w:rPr>
          <w:lang w:val="en-US"/>
        </w:rPr>
        <w:t>accuracy of</w:t>
      </w:r>
      <w:r w:rsidR="00B63116" w:rsidRPr="00B5752B">
        <w:rPr>
          <w:lang w:val="en-US"/>
        </w:rPr>
        <w:t xml:space="preserve"> valuations is the access to market information. </w:t>
      </w:r>
      <w:r w:rsidRPr="002B121E">
        <w:rPr>
          <w:lang w:val="en-US"/>
        </w:rPr>
        <w:t xml:space="preserve"> </w:t>
      </w:r>
      <w:r w:rsidR="00D54366" w:rsidRPr="0029780C">
        <w:rPr>
          <w:lang w:val="en-US"/>
        </w:rPr>
        <w:t>However, appraisers noted that, at times, banks use internal appraisers</w:t>
      </w:r>
      <w:r w:rsidR="00072212" w:rsidRPr="0029780C">
        <w:rPr>
          <w:lang w:val="en-US"/>
        </w:rPr>
        <w:t xml:space="preserve"> on properties where the bank has a relationship with the developer</w:t>
      </w:r>
      <w:r w:rsidR="00F26DB9" w:rsidRPr="00A83CBE">
        <w:rPr>
          <w:lang w:val="en-US"/>
        </w:rPr>
        <w:t xml:space="preserve">, causing a potential skewing of prices. </w:t>
      </w:r>
    </w:p>
    <w:p w14:paraId="472A2DF4" w14:textId="77777777" w:rsidR="00177CF2" w:rsidRPr="00280F2F" w:rsidRDefault="00177CF2" w:rsidP="00E52E4F">
      <w:pPr>
        <w:spacing w:line="276" w:lineRule="auto"/>
        <w:rPr>
          <w:b/>
          <w:lang w:val="en-US"/>
        </w:rPr>
      </w:pPr>
    </w:p>
    <w:p w14:paraId="3831CECB" w14:textId="77777777" w:rsidR="00D162B0" w:rsidRPr="00FD6E17" w:rsidRDefault="00D162B0" w:rsidP="00E52E4F">
      <w:pPr>
        <w:numPr>
          <w:ilvl w:val="0"/>
          <w:numId w:val="35"/>
        </w:numPr>
        <w:spacing w:line="276" w:lineRule="auto"/>
        <w:rPr>
          <w:b/>
          <w:lang w:val="en-US"/>
        </w:rPr>
      </w:pPr>
      <w:r w:rsidRPr="00FD6E17">
        <w:rPr>
          <w:b/>
          <w:lang w:val="en-US"/>
        </w:rPr>
        <w:t xml:space="preserve">Credit risk management </w:t>
      </w:r>
      <w:r w:rsidR="005D6B65">
        <w:rPr>
          <w:b/>
          <w:lang w:val="en-US"/>
        </w:rPr>
        <w:t>is fairly sound overall</w:t>
      </w:r>
    </w:p>
    <w:p w14:paraId="2442739F" w14:textId="1C5151AC" w:rsidR="00587E40" w:rsidRPr="009975A1" w:rsidRDefault="005D6B65" w:rsidP="00E52E4F">
      <w:pPr>
        <w:spacing w:line="276" w:lineRule="auto"/>
        <w:rPr>
          <w:lang w:val="en-US"/>
        </w:rPr>
      </w:pPr>
      <w:r>
        <w:rPr>
          <w:lang w:val="en-US"/>
        </w:rPr>
        <w:t>C</w:t>
      </w:r>
      <w:r w:rsidR="00177CF2" w:rsidRPr="005B411D">
        <w:rPr>
          <w:lang w:val="en-US"/>
        </w:rPr>
        <w:t>redit policies are generally prudent</w:t>
      </w:r>
      <w:r w:rsidR="00587E40" w:rsidRPr="005B411D">
        <w:rPr>
          <w:lang w:val="en-US"/>
        </w:rPr>
        <w:t>, although the types of loans o</w:t>
      </w:r>
      <w:r w:rsidR="00E52E4F">
        <w:rPr>
          <w:lang w:val="en-US"/>
        </w:rPr>
        <w:t>riginated adds a layer of risk:</w:t>
      </w:r>
      <w:r w:rsidR="00177CF2" w:rsidRPr="00F413CA">
        <w:rPr>
          <w:lang w:val="en-US"/>
        </w:rPr>
        <w:t xml:space="preserve"> </w:t>
      </w:r>
    </w:p>
    <w:p w14:paraId="245A6BE9" w14:textId="674AAF74" w:rsidR="00A83CBE" w:rsidRDefault="00A77105" w:rsidP="00E52E4F">
      <w:pPr>
        <w:numPr>
          <w:ilvl w:val="0"/>
          <w:numId w:val="3"/>
        </w:numPr>
        <w:spacing w:after="120" w:line="276" w:lineRule="auto"/>
        <w:ind w:firstLine="505"/>
        <w:rPr>
          <w:lang w:val="en-US"/>
        </w:rPr>
      </w:pPr>
      <w:r w:rsidRPr="008A3C06">
        <w:rPr>
          <w:lang w:val="en-US"/>
        </w:rPr>
        <w:t>B</w:t>
      </w:r>
      <w:r w:rsidR="001B310C" w:rsidRPr="008A3C06">
        <w:rPr>
          <w:lang w:val="en-US"/>
        </w:rPr>
        <w:t xml:space="preserve">anks demonstrate caution in their risk </w:t>
      </w:r>
      <w:r w:rsidR="008934E7" w:rsidRPr="00DB6BD5">
        <w:rPr>
          <w:lang w:val="en-US"/>
        </w:rPr>
        <w:t>management policies</w:t>
      </w:r>
      <w:r w:rsidR="001B310C" w:rsidRPr="00DB6BD5">
        <w:rPr>
          <w:lang w:val="en-US"/>
        </w:rPr>
        <w:t xml:space="preserve">. </w:t>
      </w:r>
      <w:r w:rsidRPr="00B10831">
        <w:rPr>
          <w:lang w:val="en-US"/>
        </w:rPr>
        <w:t>Loans are mostly granted to h</w:t>
      </w:r>
      <w:r w:rsidRPr="00A57F20">
        <w:rPr>
          <w:lang w:val="en-US"/>
        </w:rPr>
        <w:t xml:space="preserve">olders of freehold titles. Ability to repay is a key </w:t>
      </w:r>
      <w:r w:rsidR="00E7198B" w:rsidRPr="00B5752B">
        <w:rPr>
          <w:lang w:val="en-US"/>
        </w:rPr>
        <w:t>criterion</w:t>
      </w:r>
      <w:r w:rsidRPr="002B121E">
        <w:rPr>
          <w:lang w:val="en-US"/>
        </w:rPr>
        <w:t>, and is not only assessed through debt-to –income ratios</w:t>
      </w:r>
      <w:r w:rsidR="001F3E74" w:rsidRPr="0029780C">
        <w:rPr>
          <w:lang w:val="en-US"/>
        </w:rPr>
        <w:t>,</w:t>
      </w:r>
      <w:r w:rsidRPr="0029780C">
        <w:rPr>
          <w:lang w:val="en-US"/>
        </w:rPr>
        <w:t xml:space="preserve"> but through budgetary estimates. I</w:t>
      </w:r>
      <w:r w:rsidR="001B310C" w:rsidRPr="0029780C">
        <w:rPr>
          <w:lang w:val="en-US"/>
        </w:rPr>
        <w:t>nterestingly, banks preventively increased loan loss provisions in 2008, without deterioration of the performance of their portfolios</w:t>
      </w:r>
      <w:r w:rsidR="001B310C" w:rsidRPr="003D3DF2">
        <w:rPr>
          <w:rStyle w:val="FootnoteReference"/>
          <w:lang w:val="en-US"/>
        </w:rPr>
        <w:footnoteReference w:id="7"/>
      </w:r>
      <w:r w:rsidR="001B310C" w:rsidRPr="003D3DF2">
        <w:rPr>
          <w:lang w:val="en-US"/>
        </w:rPr>
        <w:t>. One aspect of this cautiousness is to focus lending to salaried categories, a</w:t>
      </w:r>
      <w:r w:rsidR="001F3E74" w:rsidRPr="005B411D">
        <w:rPr>
          <w:lang w:val="en-US"/>
        </w:rPr>
        <w:t xml:space="preserve">n obstacle </w:t>
      </w:r>
      <w:r w:rsidR="001B310C" w:rsidRPr="005B411D">
        <w:rPr>
          <w:lang w:val="en-US"/>
        </w:rPr>
        <w:t>to the expansion of access to housing credit</w:t>
      </w:r>
      <w:r w:rsidR="00E7198B" w:rsidRPr="00F413CA">
        <w:rPr>
          <w:lang w:val="en-US"/>
        </w:rPr>
        <w:t xml:space="preserve"> for those whose income is informal</w:t>
      </w:r>
      <w:r w:rsidR="001B310C" w:rsidRPr="009975A1">
        <w:rPr>
          <w:lang w:val="en-US"/>
        </w:rPr>
        <w:t xml:space="preserve">. </w:t>
      </w:r>
      <w:r w:rsidR="00744E8A">
        <w:rPr>
          <w:lang w:val="en-US"/>
        </w:rPr>
        <w:t>However</w:t>
      </w:r>
      <w:r w:rsidR="00A83CBE">
        <w:rPr>
          <w:lang w:val="en-US"/>
        </w:rPr>
        <w:t>, debt payment to income ratios can be very high in government programs, a cause of concern and an obstacle to the expansion of finance in low income categories.</w:t>
      </w:r>
    </w:p>
    <w:p w14:paraId="31EDD079" w14:textId="25A04D0F" w:rsidR="00587E40" w:rsidRPr="00795ACF" w:rsidRDefault="00A83CBE" w:rsidP="00795ACF">
      <w:pPr>
        <w:numPr>
          <w:ilvl w:val="0"/>
          <w:numId w:val="3"/>
        </w:numPr>
        <w:spacing w:line="276" w:lineRule="auto"/>
        <w:rPr>
          <w:lang w:val="en-US"/>
        </w:rPr>
      </w:pPr>
      <w:r>
        <w:rPr>
          <w:lang w:val="en-US"/>
        </w:rPr>
        <w:t xml:space="preserve">  </w:t>
      </w:r>
      <w:r w:rsidR="001B310C" w:rsidRPr="009975A1">
        <w:rPr>
          <w:lang w:val="en-US"/>
        </w:rPr>
        <w:t xml:space="preserve">The main weakness </w:t>
      </w:r>
      <w:r w:rsidR="007C4C85">
        <w:rPr>
          <w:lang w:val="en-US"/>
        </w:rPr>
        <w:t>probably lies in</w:t>
      </w:r>
      <w:r w:rsidR="001B310C" w:rsidRPr="009975A1">
        <w:rPr>
          <w:lang w:val="en-US"/>
        </w:rPr>
        <w:t xml:space="preserve"> the use of powers of attorney to create </w:t>
      </w:r>
      <w:r w:rsidR="00F26DB9" w:rsidRPr="008A3C06">
        <w:rPr>
          <w:lang w:val="en-US"/>
        </w:rPr>
        <w:t>mortgages</w:t>
      </w:r>
      <w:r w:rsidR="003917B3" w:rsidRPr="00DB6BD5">
        <w:rPr>
          <w:lang w:val="en-US"/>
        </w:rPr>
        <w:t xml:space="preserve"> rather than actually registering the mortgages</w:t>
      </w:r>
      <w:r w:rsidR="00E52E4F">
        <w:rPr>
          <w:lang w:val="en-US"/>
        </w:rPr>
        <w:t>,</w:t>
      </w:r>
      <w:r w:rsidR="001B310C" w:rsidRPr="00DB6BD5">
        <w:rPr>
          <w:lang w:val="en-US"/>
        </w:rPr>
        <w:t xml:space="preserve"> a source of legal </w:t>
      </w:r>
      <w:r w:rsidR="00E52E4F" w:rsidRPr="00DB6BD5">
        <w:rPr>
          <w:lang w:val="en-US"/>
        </w:rPr>
        <w:t xml:space="preserve">uncertainty. </w:t>
      </w:r>
      <w:r w:rsidR="00E52E4F">
        <w:rPr>
          <w:lang w:val="en-US"/>
        </w:rPr>
        <w:lastRenderedPageBreak/>
        <w:t>Furthermore, t</w:t>
      </w:r>
      <w:r w:rsidR="00073A21" w:rsidRPr="005B411D">
        <w:rPr>
          <w:lang w:val="en-US"/>
        </w:rPr>
        <w:t xml:space="preserve">here does not seem to be much </w:t>
      </w:r>
      <w:r w:rsidR="00073A21" w:rsidRPr="00F413CA">
        <w:rPr>
          <w:lang w:val="en-US"/>
        </w:rPr>
        <w:t xml:space="preserve">attempt to develop an expertise in assessing the risk of </w:t>
      </w:r>
      <w:r w:rsidR="00073A21" w:rsidRPr="009975A1">
        <w:rPr>
          <w:lang w:val="en-US"/>
        </w:rPr>
        <w:t>informal sector borrowers</w:t>
      </w:r>
      <w:r w:rsidR="00073A21" w:rsidRPr="008A3C06">
        <w:rPr>
          <w:lang w:val="en-US"/>
        </w:rPr>
        <w:t>, starting with a capacity to indirectly measure undocumented incomes, and as a result, a large part of households do not have acces</w:t>
      </w:r>
      <w:r w:rsidR="00073A21" w:rsidRPr="00DB6BD5">
        <w:rPr>
          <w:lang w:val="en-US"/>
        </w:rPr>
        <w:t xml:space="preserve">s to housing finance. </w:t>
      </w:r>
      <w:r w:rsidR="00073A21" w:rsidRPr="00B10831">
        <w:rPr>
          <w:lang w:val="en-US"/>
        </w:rPr>
        <w:t xml:space="preserve"> </w:t>
      </w:r>
      <w:r w:rsidR="00073A21" w:rsidRPr="00B5752B">
        <w:rPr>
          <w:lang w:val="en-US"/>
        </w:rPr>
        <w:t xml:space="preserve"> </w:t>
      </w:r>
      <w:r w:rsidR="001B310C" w:rsidRPr="002B121E">
        <w:rPr>
          <w:lang w:val="en-US"/>
        </w:rPr>
        <w:t xml:space="preserve">   </w:t>
      </w:r>
    </w:p>
    <w:p w14:paraId="7F10AE6D" w14:textId="4B7D4675" w:rsidR="00587E40" w:rsidRPr="00795ACF" w:rsidRDefault="00587E40" w:rsidP="00795ACF">
      <w:pPr>
        <w:numPr>
          <w:ilvl w:val="0"/>
          <w:numId w:val="3"/>
        </w:numPr>
        <w:spacing w:line="276" w:lineRule="auto"/>
        <w:rPr>
          <w:lang w:val="en-US"/>
        </w:rPr>
      </w:pPr>
      <w:r w:rsidRPr="0029780C">
        <w:rPr>
          <w:lang w:val="en-US"/>
        </w:rPr>
        <w:t>The fact that variable rate mortgages are the predominant form of housing loans adds an element of risk, particularly in times of lower interest rates.  Financial institutions qualify borrowers based on their</w:t>
      </w:r>
      <w:r w:rsidRPr="00A83CBE">
        <w:rPr>
          <w:lang w:val="en-US"/>
        </w:rPr>
        <w:t xml:space="preserve"> current income and the debt service coverage needed to service the mortgage debt</w:t>
      </w:r>
      <w:proofErr w:type="gramStart"/>
      <w:r w:rsidRPr="00A83CBE">
        <w:rPr>
          <w:lang w:val="en-US"/>
        </w:rPr>
        <w:t>..</w:t>
      </w:r>
      <w:proofErr w:type="gramEnd"/>
      <w:r w:rsidRPr="00A83CBE">
        <w:rPr>
          <w:lang w:val="en-US"/>
        </w:rPr>
        <w:t xml:space="preserve">  It is not common practice for financial institutions to look at sensitivity analyses to note the effect on increases on a borrower’s ability to service the debt. </w:t>
      </w:r>
    </w:p>
    <w:p w14:paraId="333CFFF6" w14:textId="3739D294" w:rsidR="001B310C" w:rsidRPr="005D6B65" w:rsidRDefault="00F26DB9" w:rsidP="00E52E4F">
      <w:pPr>
        <w:numPr>
          <w:ilvl w:val="0"/>
          <w:numId w:val="3"/>
        </w:numPr>
        <w:spacing w:line="276" w:lineRule="auto"/>
        <w:rPr>
          <w:lang w:val="en-US"/>
        </w:rPr>
      </w:pPr>
      <w:r w:rsidRPr="00A83CBE">
        <w:rPr>
          <w:lang w:val="en-US"/>
        </w:rPr>
        <w:t xml:space="preserve">Indonesia’s Central Bank, </w:t>
      </w:r>
      <w:r w:rsidR="00A77105" w:rsidRPr="00A83CBE">
        <w:rPr>
          <w:lang w:val="en-US"/>
        </w:rPr>
        <w:t>Bank Indonesia</w:t>
      </w:r>
      <w:r w:rsidRPr="00A83CBE">
        <w:rPr>
          <w:lang w:val="en-US"/>
        </w:rPr>
        <w:t xml:space="preserve"> (BI)</w:t>
      </w:r>
      <w:r w:rsidR="00587E40" w:rsidRPr="00280F2F">
        <w:rPr>
          <w:lang w:val="en-US"/>
        </w:rPr>
        <w:t>, developed</w:t>
      </w:r>
      <w:r w:rsidR="00A77105" w:rsidRPr="00280F2F">
        <w:rPr>
          <w:lang w:val="en-US"/>
        </w:rPr>
        <w:t xml:space="preserve"> a risk based </w:t>
      </w:r>
      <w:r w:rsidR="00744E8A">
        <w:rPr>
          <w:lang w:val="en-US"/>
        </w:rPr>
        <w:t xml:space="preserve">prudential </w:t>
      </w:r>
      <w:r w:rsidR="00A77105" w:rsidRPr="00280F2F">
        <w:rPr>
          <w:lang w:val="en-US"/>
        </w:rPr>
        <w:t xml:space="preserve">approach relying on supervision. It provides a better capacity to adjust to evolving contexts than set regulations. An example was recently provided with a guideline </w:t>
      </w:r>
      <w:r w:rsidR="0044012B" w:rsidRPr="000570C1">
        <w:rPr>
          <w:lang w:val="en-US"/>
        </w:rPr>
        <w:t>to limit</w:t>
      </w:r>
      <w:r w:rsidR="00A77105" w:rsidRPr="00C27FCC">
        <w:rPr>
          <w:lang w:val="en-US"/>
        </w:rPr>
        <w:t xml:space="preserve"> Loan-to-Value- Ratios to 70% as against up to 90% in a recent past, a move that reflects </w:t>
      </w:r>
      <w:r w:rsidRPr="00D57D92">
        <w:rPr>
          <w:lang w:val="en-US"/>
        </w:rPr>
        <w:t xml:space="preserve">an adjustment due to </w:t>
      </w:r>
      <w:r w:rsidR="00A77105" w:rsidRPr="00D57D92">
        <w:rPr>
          <w:lang w:val="en-US"/>
        </w:rPr>
        <w:t>concerns about the evolution of real estate values and the increase of interest rates Also, BI initiated the construction of the main hous</w:t>
      </w:r>
      <w:r w:rsidR="00A77105" w:rsidRPr="00B23C02">
        <w:rPr>
          <w:lang w:val="en-US"/>
        </w:rPr>
        <w:t xml:space="preserve">ing price index in Indonesia, a </w:t>
      </w:r>
      <w:r w:rsidR="0044012B" w:rsidRPr="00F53D13">
        <w:rPr>
          <w:lang w:val="en-US"/>
        </w:rPr>
        <w:t>necessary</w:t>
      </w:r>
      <w:r w:rsidR="00A77105" w:rsidRPr="00F53D13">
        <w:rPr>
          <w:lang w:val="en-US"/>
        </w:rPr>
        <w:t xml:space="preserve"> </w:t>
      </w:r>
      <w:r w:rsidR="0044012B" w:rsidRPr="00F53D13">
        <w:rPr>
          <w:lang w:val="en-US"/>
        </w:rPr>
        <w:t xml:space="preserve">real estate market </w:t>
      </w:r>
      <w:r w:rsidR="00A77105" w:rsidRPr="00F53D13">
        <w:rPr>
          <w:lang w:val="en-US"/>
        </w:rPr>
        <w:t xml:space="preserve">monitoring tool. </w:t>
      </w:r>
    </w:p>
    <w:p w14:paraId="46346106" w14:textId="78ACFF5E" w:rsidR="00F440D6" w:rsidRPr="00DE0FEE" w:rsidRDefault="006124CC" w:rsidP="00E52E4F">
      <w:pPr>
        <w:spacing w:line="276" w:lineRule="auto"/>
        <w:rPr>
          <w:lang w:val="en-US"/>
        </w:rPr>
      </w:pPr>
      <w:r w:rsidRPr="005D6B65">
        <w:rPr>
          <w:lang w:val="en-US"/>
        </w:rPr>
        <w:t>As a result mortgage NPL ratio</w:t>
      </w:r>
      <w:r w:rsidR="001B310C" w:rsidRPr="005D6B65">
        <w:rPr>
          <w:lang w:val="en-US"/>
        </w:rPr>
        <w:t>s</w:t>
      </w:r>
      <w:r w:rsidRPr="005D6B65">
        <w:rPr>
          <w:lang w:val="en-US"/>
        </w:rPr>
        <w:t xml:space="preserve"> ha</w:t>
      </w:r>
      <w:r w:rsidR="001B310C" w:rsidRPr="005D6B65">
        <w:rPr>
          <w:lang w:val="en-US"/>
        </w:rPr>
        <w:t>ve</w:t>
      </w:r>
      <w:r w:rsidRPr="005D6B65">
        <w:rPr>
          <w:lang w:val="en-US"/>
        </w:rPr>
        <w:t xml:space="preserve"> been stable </w:t>
      </w:r>
      <w:r w:rsidR="00A77105" w:rsidRPr="005D6B65">
        <w:rPr>
          <w:lang w:val="en-US"/>
        </w:rPr>
        <w:t xml:space="preserve">in </w:t>
      </w:r>
      <w:r w:rsidR="00E07E5D" w:rsidRPr="005D6B65">
        <w:rPr>
          <w:lang w:val="en-US"/>
        </w:rPr>
        <w:t>a 3</w:t>
      </w:r>
      <w:r w:rsidRPr="005D6B65">
        <w:rPr>
          <w:lang w:val="en-US"/>
        </w:rPr>
        <w:t xml:space="preserve">%-4% </w:t>
      </w:r>
      <w:r w:rsidR="00A77105" w:rsidRPr="005D6B65">
        <w:rPr>
          <w:lang w:val="en-US"/>
        </w:rPr>
        <w:t xml:space="preserve">range </w:t>
      </w:r>
      <w:r w:rsidR="002064AE" w:rsidRPr="005D6B65">
        <w:rPr>
          <w:lang w:val="en-US"/>
        </w:rPr>
        <w:t xml:space="preserve">since </w:t>
      </w:r>
      <w:proofErr w:type="gramStart"/>
      <w:r w:rsidRPr="005D6B65">
        <w:rPr>
          <w:lang w:val="en-US"/>
        </w:rPr>
        <w:t>2002</w:t>
      </w:r>
      <w:r w:rsidR="00587E40" w:rsidRPr="005D6B65">
        <w:rPr>
          <w:lang w:val="en-US"/>
        </w:rPr>
        <w:t xml:space="preserve"> </w:t>
      </w:r>
      <w:r w:rsidRPr="005D6B65">
        <w:rPr>
          <w:lang w:val="en-US"/>
        </w:rPr>
        <w:t>.</w:t>
      </w:r>
      <w:proofErr w:type="gramEnd"/>
      <w:r w:rsidR="00177CF2" w:rsidRPr="005D6B65">
        <w:rPr>
          <w:lang w:val="en-US"/>
        </w:rPr>
        <w:t xml:space="preserve"> Even in the case of BTN</w:t>
      </w:r>
      <w:r w:rsidR="00C62183" w:rsidRPr="00934AF5">
        <w:rPr>
          <w:lang w:val="en-US"/>
        </w:rPr>
        <w:t xml:space="preserve"> that</w:t>
      </w:r>
      <w:r w:rsidR="00177CF2" w:rsidRPr="00934AF5">
        <w:rPr>
          <w:lang w:val="en-US"/>
        </w:rPr>
        <w:t xml:space="preserve"> serve</w:t>
      </w:r>
      <w:r w:rsidR="001B310C" w:rsidRPr="00934AF5">
        <w:rPr>
          <w:lang w:val="en-US"/>
        </w:rPr>
        <w:t>s</w:t>
      </w:r>
      <w:r w:rsidR="00177CF2" w:rsidRPr="00934AF5">
        <w:rPr>
          <w:lang w:val="en-US"/>
        </w:rPr>
        <w:t xml:space="preserve"> lower income segments than the industry average, delinquencies stand at a reasonable 4% rate</w:t>
      </w:r>
      <w:r w:rsidR="002064AE" w:rsidRPr="002C5132">
        <w:rPr>
          <w:lang w:val="en-US"/>
        </w:rPr>
        <w:t xml:space="preserve"> (end 2010)</w:t>
      </w:r>
      <w:r w:rsidR="00177CF2" w:rsidRPr="00DE0FEE">
        <w:rPr>
          <w:lang w:val="en-US"/>
        </w:rPr>
        <w:t>.</w:t>
      </w:r>
    </w:p>
    <w:p w14:paraId="627B0928" w14:textId="77777777" w:rsidR="00D04D75" w:rsidRPr="00DE0FEE" w:rsidRDefault="00D04D75" w:rsidP="00E52E4F">
      <w:pPr>
        <w:spacing w:line="276" w:lineRule="auto"/>
        <w:rPr>
          <w:lang w:val="en-US"/>
        </w:rPr>
      </w:pPr>
    </w:p>
    <w:p w14:paraId="251B258A" w14:textId="1FCDAE6A" w:rsidR="00F440D6" w:rsidRPr="00FD6E17" w:rsidRDefault="005D6B65" w:rsidP="00E52E4F">
      <w:pPr>
        <w:numPr>
          <w:ilvl w:val="0"/>
          <w:numId w:val="35"/>
        </w:numPr>
        <w:spacing w:line="276" w:lineRule="auto"/>
        <w:rPr>
          <w:b/>
          <w:lang w:val="en-US"/>
        </w:rPr>
      </w:pPr>
      <w:r>
        <w:rPr>
          <w:b/>
          <w:lang w:val="en-US"/>
        </w:rPr>
        <w:t>Adequate f</w:t>
      </w:r>
      <w:r w:rsidR="00212C79" w:rsidRPr="00FD6E17">
        <w:rPr>
          <w:b/>
          <w:lang w:val="en-US"/>
        </w:rPr>
        <w:t>unding</w:t>
      </w:r>
      <w:r>
        <w:rPr>
          <w:b/>
          <w:lang w:val="en-US"/>
        </w:rPr>
        <w:t xml:space="preserve"> is insufficiently available</w:t>
      </w:r>
    </w:p>
    <w:p w14:paraId="1D7BE917" w14:textId="77777777" w:rsidR="00F440D6" w:rsidRPr="003D3DF2" w:rsidRDefault="00F440D6" w:rsidP="00E52E4F">
      <w:pPr>
        <w:spacing w:line="276" w:lineRule="auto"/>
        <w:rPr>
          <w:lang w:val="en-US"/>
        </w:rPr>
      </w:pPr>
    </w:p>
    <w:p w14:paraId="35A9D58C" w14:textId="60AD5381" w:rsidR="00DE4E5C" w:rsidRPr="00F413CA" w:rsidRDefault="00B63116" w:rsidP="00E52E4F">
      <w:pPr>
        <w:spacing w:after="120" w:line="276" w:lineRule="auto"/>
        <w:rPr>
          <w:lang w:val="en-US"/>
        </w:rPr>
      </w:pPr>
      <w:r w:rsidRPr="003D3DF2">
        <w:rPr>
          <w:lang w:val="en-US"/>
        </w:rPr>
        <w:t>Lending for housing essentially uses bank deposits as source of funds. The practice of adjusting interest rates according to the</w:t>
      </w:r>
      <w:r w:rsidRPr="005B411D">
        <w:rPr>
          <w:lang w:val="en-US"/>
        </w:rPr>
        <w:t xml:space="preserve"> evolution of the lender’s own cost of fund mitigates the interest rate risks</w:t>
      </w:r>
      <w:r w:rsidR="00D66FAB" w:rsidRPr="00F413CA">
        <w:rPr>
          <w:lang w:val="en-US"/>
        </w:rPr>
        <w:t xml:space="preserve"> borne by financial </w:t>
      </w:r>
      <w:r w:rsidR="008934E7" w:rsidRPr="00F413CA">
        <w:rPr>
          <w:lang w:val="en-US"/>
        </w:rPr>
        <w:t>institutions,</w:t>
      </w:r>
      <w:r w:rsidR="00D66FAB" w:rsidRPr="00F413CA">
        <w:rPr>
          <w:lang w:val="en-US"/>
        </w:rPr>
        <w:t xml:space="preserve"> but </w:t>
      </w:r>
      <w:r w:rsidR="008934E7" w:rsidRPr="00F413CA">
        <w:rPr>
          <w:lang w:val="en-US"/>
        </w:rPr>
        <w:t>by transferring</w:t>
      </w:r>
      <w:r w:rsidRPr="00F413CA">
        <w:rPr>
          <w:lang w:val="en-US"/>
        </w:rPr>
        <w:t xml:space="preserve"> it to borrowers</w:t>
      </w:r>
      <w:r w:rsidR="00E21E50" w:rsidRPr="009975A1">
        <w:rPr>
          <w:lang w:val="en-US"/>
        </w:rPr>
        <w:t xml:space="preserve"> as mentioned</w:t>
      </w:r>
      <w:r w:rsidRPr="009975A1">
        <w:rPr>
          <w:lang w:val="en-US"/>
        </w:rPr>
        <w:t xml:space="preserve">. </w:t>
      </w:r>
      <w:r w:rsidR="00E21E50" w:rsidRPr="008A3C06">
        <w:rPr>
          <w:lang w:val="en-US"/>
        </w:rPr>
        <w:t>Overall, this does not seem to pose a systemic risk to the financial secto</w:t>
      </w:r>
      <w:r w:rsidR="00E21E50" w:rsidRPr="00DB6BD5">
        <w:rPr>
          <w:lang w:val="en-US"/>
        </w:rPr>
        <w:t xml:space="preserve">r: loan to deposit ratios for commercial banks have been stable in a 70%-75% range </w:t>
      </w:r>
      <w:r w:rsidR="00E21E50" w:rsidRPr="00B10831">
        <w:rPr>
          <w:lang w:val="en-US"/>
        </w:rPr>
        <w:t>in the past few years, and the</w:t>
      </w:r>
      <w:r w:rsidR="00BF56B5" w:rsidRPr="00A57F20">
        <w:rPr>
          <w:lang w:val="en-US"/>
        </w:rPr>
        <w:t>ir</w:t>
      </w:r>
      <w:r w:rsidR="00E21E50" w:rsidRPr="00B5752B">
        <w:rPr>
          <w:lang w:val="en-US"/>
        </w:rPr>
        <w:t xml:space="preserve"> net stable funding </w:t>
      </w:r>
      <w:r w:rsidR="00BA4D2C" w:rsidRPr="00B5752B">
        <w:rPr>
          <w:lang w:val="en-US"/>
        </w:rPr>
        <w:t>ratio,</w:t>
      </w:r>
      <w:r w:rsidR="00BF56B5" w:rsidRPr="002B121E">
        <w:rPr>
          <w:lang w:val="en-US"/>
        </w:rPr>
        <w:t xml:space="preserve"> as established by BI following the Basle III concept, </w:t>
      </w:r>
      <w:r w:rsidR="00BF56B5" w:rsidRPr="0029780C">
        <w:rPr>
          <w:lang w:val="en-US"/>
        </w:rPr>
        <w:t xml:space="preserve">stands at </w:t>
      </w:r>
      <w:r w:rsidR="00BA4D2C" w:rsidRPr="0029780C">
        <w:rPr>
          <w:lang w:val="en-US"/>
        </w:rPr>
        <w:t>the comfortable level</w:t>
      </w:r>
      <w:r w:rsidR="00BF56B5" w:rsidRPr="0029780C">
        <w:rPr>
          <w:lang w:val="en-US"/>
        </w:rPr>
        <w:t xml:space="preserve"> of 2 (2010)</w:t>
      </w:r>
      <w:r w:rsidR="00213166" w:rsidRPr="0029780C">
        <w:rPr>
          <w:lang w:val="en-US"/>
        </w:rPr>
        <w:t xml:space="preserve">, and the volume of liquid assets is high. </w:t>
      </w:r>
      <w:r w:rsidR="00213166" w:rsidRPr="00A83CBE">
        <w:rPr>
          <w:lang w:val="en-US"/>
        </w:rPr>
        <w:t>However, this is bei</w:t>
      </w:r>
      <w:r w:rsidR="00BF56B5" w:rsidRPr="00A83CBE">
        <w:rPr>
          <w:lang w:val="en-US"/>
        </w:rPr>
        <w:t xml:space="preserve">ng achieved at the expense of the development of long term finance, starting with lending for </w:t>
      </w:r>
      <w:r w:rsidR="008B1E6E" w:rsidRPr="00A83CBE">
        <w:rPr>
          <w:lang w:val="en-US"/>
        </w:rPr>
        <w:t xml:space="preserve">housing. </w:t>
      </w:r>
      <w:r w:rsidRPr="00A83CBE">
        <w:rPr>
          <w:lang w:val="en-US"/>
        </w:rPr>
        <w:t xml:space="preserve">The use of capital market has been limited </w:t>
      </w:r>
      <w:r w:rsidR="00D66FAB" w:rsidRPr="00A83CBE">
        <w:rPr>
          <w:lang w:val="en-US"/>
        </w:rPr>
        <w:t>until now</w:t>
      </w:r>
      <w:r w:rsidR="001F3E74" w:rsidRPr="003D3DF2">
        <w:rPr>
          <w:rStyle w:val="FootnoteReference"/>
          <w:lang w:val="en-US"/>
        </w:rPr>
        <w:footnoteReference w:id="8"/>
      </w:r>
      <w:r w:rsidRPr="003D3DF2">
        <w:rPr>
          <w:lang w:val="en-US"/>
        </w:rPr>
        <w:t xml:space="preserve">, but </w:t>
      </w:r>
      <w:r w:rsidR="00F26DB9" w:rsidRPr="003D3DF2">
        <w:rPr>
          <w:lang w:val="en-US"/>
        </w:rPr>
        <w:t>two</w:t>
      </w:r>
      <w:r w:rsidRPr="005B411D">
        <w:rPr>
          <w:lang w:val="en-US"/>
        </w:rPr>
        <w:t xml:space="preserve"> </w:t>
      </w:r>
      <w:r w:rsidR="008B1E6E" w:rsidRPr="00F413CA">
        <w:rPr>
          <w:lang w:val="en-US"/>
        </w:rPr>
        <w:t>instruments are now available to mobilize</w:t>
      </w:r>
      <w:r w:rsidRPr="00F413CA">
        <w:rPr>
          <w:lang w:val="en-US"/>
        </w:rPr>
        <w:t xml:space="preserve"> long term resources</w:t>
      </w:r>
      <w:r w:rsidR="00DE4E5C" w:rsidRPr="00F413CA">
        <w:rPr>
          <w:lang w:val="en-US"/>
        </w:rPr>
        <w:t>:</w:t>
      </w:r>
    </w:p>
    <w:p w14:paraId="6A24357A" w14:textId="3527492C" w:rsidR="000F0D1A" w:rsidRPr="0029780C" w:rsidRDefault="00337E62" w:rsidP="00E52E4F">
      <w:pPr>
        <w:numPr>
          <w:ilvl w:val="0"/>
          <w:numId w:val="37"/>
        </w:numPr>
        <w:spacing w:after="120" w:line="276" w:lineRule="auto"/>
        <w:ind w:left="0" w:firstLine="357"/>
        <w:rPr>
          <w:lang w:val="en-US"/>
        </w:rPr>
      </w:pPr>
      <w:r w:rsidRPr="00F413CA">
        <w:rPr>
          <w:lang w:val="en-US"/>
        </w:rPr>
        <w:t>The Secondary Market Facility</w:t>
      </w:r>
      <w:r w:rsidR="002B121E">
        <w:rPr>
          <w:lang w:val="en-US"/>
        </w:rPr>
        <w:t xml:space="preserve"> PT </w:t>
      </w:r>
      <w:proofErr w:type="spellStart"/>
      <w:r w:rsidR="002B121E">
        <w:rPr>
          <w:lang w:val="en-US"/>
        </w:rPr>
        <w:t>Sarana</w:t>
      </w:r>
      <w:proofErr w:type="spellEnd"/>
      <w:r w:rsidR="002B121E">
        <w:rPr>
          <w:lang w:val="en-US"/>
        </w:rPr>
        <w:t xml:space="preserve"> </w:t>
      </w:r>
      <w:proofErr w:type="spellStart"/>
      <w:proofErr w:type="gramStart"/>
      <w:r w:rsidR="002B121E">
        <w:rPr>
          <w:lang w:val="en-US"/>
        </w:rPr>
        <w:t>Multigriya</w:t>
      </w:r>
      <w:proofErr w:type="spellEnd"/>
      <w:r w:rsidR="002B121E">
        <w:rPr>
          <w:lang w:val="en-US"/>
        </w:rPr>
        <w:t xml:space="preserve"> </w:t>
      </w:r>
      <w:r w:rsidR="0029780C">
        <w:rPr>
          <w:lang w:val="en-US"/>
        </w:rPr>
        <w:t xml:space="preserve"> </w:t>
      </w:r>
      <w:proofErr w:type="spellStart"/>
      <w:r w:rsidR="002B121E">
        <w:rPr>
          <w:lang w:val="en-US"/>
        </w:rPr>
        <w:t>Finansial</w:t>
      </w:r>
      <w:proofErr w:type="spellEnd"/>
      <w:proofErr w:type="gramEnd"/>
      <w:r w:rsidR="002B121E">
        <w:rPr>
          <w:lang w:val="en-US"/>
        </w:rPr>
        <w:t xml:space="preserve"> </w:t>
      </w:r>
      <w:r w:rsidRPr="00F413CA">
        <w:rPr>
          <w:lang w:val="en-US"/>
        </w:rPr>
        <w:t xml:space="preserve"> (</w:t>
      </w:r>
      <w:r w:rsidR="000F0D1A" w:rsidRPr="00F413CA">
        <w:rPr>
          <w:lang w:val="en-US"/>
        </w:rPr>
        <w:t>PT-</w:t>
      </w:r>
      <w:r w:rsidRPr="00F413CA">
        <w:rPr>
          <w:lang w:val="en-US"/>
        </w:rPr>
        <w:t>SMF), established by the government in 2005</w:t>
      </w:r>
      <w:r w:rsidR="003D3DF2" w:rsidRPr="00F413CA">
        <w:rPr>
          <w:lang w:val="en-US"/>
        </w:rPr>
        <w:t>.</w:t>
      </w:r>
      <w:r w:rsidR="00B63116" w:rsidRPr="00F413CA">
        <w:rPr>
          <w:lang w:val="en-US"/>
        </w:rPr>
        <w:t xml:space="preserve"> </w:t>
      </w:r>
      <w:r w:rsidRPr="00F413CA">
        <w:rPr>
          <w:lang w:val="en-US"/>
        </w:rPr>
        <w:t xml:space="preserve">After a slow start due to regulatory constraints – initial limitation of the maturity of </w:t>
      </w:r>
      <w:r w:rsidRPr="009975A1">
        <w:rPr>
          <w:lang w:val="en-US"/>
        </w:rPr>
        <w:t>refinance l</w:t>
      </w:r>
      <w:r w:rsidRPr="008A3C06">
        <w:rPr>
          <w:lang w:val="en-US"/>
        </w:rPr>
        <w:t xml:space="preserve">oans, waiting period of 3 fiscal years before tapping the bond market- </w:t>
      </w:r>
      <w:r w:rsidR="00CD0EB3" w:rsidRPr="00DB6BD5">
        <w:rPr>
          <w:lang w:val="en-US"/>
        </w:rPr>
        <w:t>SMF is progressively developing its activity.</w:t>
      </w:r>
      <w:r w:rsidR="00CD0EB3" w:rsidRPr="00B10831">
        <w:rPr>
          <w:lang w:val="en-US"/>
        </w:rPr>
        <w:t xml:space="preserve"> </w:t>
      </w:r>
      <w:r w:rsidR="00CD0EB3" w:rsidRPr="00A57F20">
        <w:rPr>
          <w:lang w:val="en-US"/>
        </w:rPr>
        <w:t xml:space="preserve">Long term </w:t>
      </w:r>
      <w:r w:rsidR="00CD0EB3" w:rsidRPr="00A57F20">
        <w:rPr>
          <w:lang w:val="en-US"/>
        </w:rPr>
        <w:lastRenderedPageBreak/>
        <w:t>r</w:t>
      </w:r>
      <w:r w:rsidR="00CD0EB3" w:rsidRPr="00B5752B">
        <w:rPr>
          <w:lang w:val="en-US"/>
        </w:rPr>
        <w:t xml:space="preserve">efinance loans outstanding amounted to IRP 1.6 trillion in the middle of </w:t>
      </w:r>
      <w:proofErr w:type="gramStart"/>
      <w:r w:rsidR="00CD0EB3" w:rsidRPr="00B5752B">
        <w:rPr>
          <w:lang w:val="en-US"/>
        </w:rPr>
        <w:t>2011,</w:t>
      </w:r>
      <w:proofErr w:type="gramEnd"/>
      <w:r w:rsidR="00CD0EB3" w:rsidRPr="00B5752B">
        <w:rPr>
          <w:lang w:val="en-US"/>
        </w:rPr>
        <w:t xml:space="preserve"> while it has been involved in </w:t>
      </w:r>
      <w:r w:rsidR="000F0D1A" w:rsidRPr="002B121E">
        <w:rPr>
          <w:lang w:val="en-US"/>
        </w:rPr>
        <w:t xml:space="preserve">the </w:t>
      </w:r>
      <w:r w:rsidR="00CD0EB3" w:rsidRPr="002B121E">
        <w:rPr>
          <w:lang w:val="en-US"/>
        </w:rPr>
        <w:t>securitization deals for BTN (see below).  Its intervention mostly targets below median housing loans (IDR 150 million limit</w:t>
      </w:r>
      <w:r w:rsidR="003D3DF2" w:rsidRPr="002B121E">
        <w:rPr>
          <w:lang w:val="en-US"/>
        </w:rPr>
        <w:t xml:space="preserve">). </w:t>
      </w:r>
      <w:r w:rsidR="000F0D1A" w:rsidRPr="002B121E">
        <w:rPr>
          <w:lang w:val="en-US"/>
        </w:rPr>
        <w:t>As a market developer, SMF is working on a housing buyer education program and has also developed training materials for lenders that emphasize critical underwriting and documentation processes</w:t>
      </w:r>
      <w:r w:rsidR="000F0D1A" w:rsidRPr="0029780C">
        <w:rPr>
          <w:lang w:val="en-US"/>
        </w:rPr>
        <w:t>.</w:t>
      </w:r>
    </w:p>
    <w:p w14:paraId="0A2466C2" w14:textId="77777777" w:rsidR="000F0D1A" w:rsidRPr="00280F2F" w:rsidRDefault="000F0D1A" w:rsidP="00E52E4F">
      <w:pPr>
        <w:numPr>
          <w:ilvl w:val="0"/>
          <w:numId w:val="37"/>
        </w:numPr>
        <w:spacing w:after="360" w:line="276" w:lineRule="auto"/>
        <w:ind w:left="0" w:firstLine="357"/>
        <w:rPr>
          <w:lang w:val="en-US"/>
        </w:rPr>
      </w:pPr>
      <w:r w:rsidRPr="0029780C">
        <w:rPr>
          <w:lang w:val="en-US"/>
        </w:rPr>
        <w:t xml:space="preserve">A securitization framework has been developed and has been now tested </w:t>
      </w:r>
      <w:r w:rsidRPr="00A83CBE">
        <w:rPr>
          <w:lang w:val="en-US"/>
        </w:rPr>
        <w:t xml:space="preserve">4 times </w:t>
      </w:r>
      <w:r w:rsidRPr="00280F2F">
        <w:rPr>
          <w:lang w:val="en-US"/>
        </w:rPr>
        <w:t xml:space="preserve">by </w:t>
      </w:r>
      <w:proofErr w:type="gramStart"/>
      <w:r w:rsidRPr="00280F2F">
        <w:rPr>
          <w:lang w:val="en-US"/>
        </w:rPr>
        <w:t>BTN ,</w:t>
      </w:r>
      <w:proofErr w:type="gramEnd"/>
      <w:r w:rsidRPr="00280F2F">
        <w:rPr>
          <w:lang w:val="en-US"/>
        </w:rPr>
        <w:t xml:space="preserve"> the institution most constraint by funding issues</w:t>
      </w:r>
      <w:r w:rsidR="00016F51" w:rsidRPr="00280F2F">
        <w:rPr>
          <w:lang w:val="en-US"/>
        </w:rPr>
        <w:t>.</w:t>
      </w:r>
      <w:r w:rsidR="00280F2F">
        <w:rPr>
          <w:lang w:val="en-US"/>
        </w:rPr>
        <w:t xml:space="preserve"> PT-SMF has played a significant role in promoting the instrument, by acting as arranger, credit enhancer and standby investor.</w:t>
      </w:r>
    </w:p>
    <w:p w14:paraId="3186E75C" w14:textId="77777777" w:rsidR="00016F51" w:rsidRPr="00280F2F" w:rsidRDefault="00016F51" w:rsidP="00E52E4F">
      <w:pPr>
        <w:numPr>
          <w:ilvl w:val="0"/>
          <w:numId w:val="35"/>
        </w:numPr>
        <w:spacing w:after="240" w:line="276" w:lineRule="auto"/>
        <w:ind w:left="357" w:hanging="357"/>
        <w:rPr>
          <w:lang w:val="en-US"/>
        </w:rPr>
      </w:pPr>
      <w:r w:rsidRPr="00280F2F">
        <w:rPr>
          <w:b/>
          <w:lang w:val="en-US"/>
        </w:rPr>
        <w:t>The mobilization of market resources for lower income groups</w:t>
      </w:r>
      <w:r w:rsidR="005D6B65">
        <w:rPr>
          <w:b/>
          <w:lang w:val="en-US"/>
        </w:rPr>
        <w:t xml:space="preserve"> remains a policy challenge</w:t>
      </w:r>
    </w:p>
    <w:p w14:paraId="52E24650" w14:textId="77777777" w:rsidR="00795ACF" w:rsidRDefault="00DE0FEE" w:rsidP="00795ACF">
      <w:pPr>
        <w:pStyle w:val="ListParagraph"/>
        <w:spacing w:after="120" w:line="276" w:lineRule="auto"/>
        <w:ind w:left="0" w:firstLine="567"/>
        <w:rPr>
          <w:bCs/>
          <w:lang w:val="en-US"/>
        </w:rPr>
      </w:pPr>
      <w:r>
        <w:rPr>
          <w:lang w:val="en-US"/>
        </w:rPr>
        <w:t xml:space="preserve">a) </w:t>
      </w:r>
      <w:r w:rsidR="00707771" w:rsidRPr="00DE0FEE">
        <w:rPr>
          <w:lang w:val="en-US"/>
        </w:rPr>
        <w:t xml:space="preserve">A diversified set of loan linked assistance programs have been developed by the government: primarily in </w:t>
      </w:r>
      <w:r w:rsidR="006A3D26" w:rsidRPr="00DE0FEE">
        <w:rPr>
          <w:lang w:val="en-US"/>
        </w:rPr>
        <w:t>the</w:t>
      </w:r>
      <w:r w:rsidR="00707771" w:rsidRPr="00FD6E17">
        <w:rPr>
          <w:bCs/>
          <w:lang w:val="en-US"/>
        </w:rPr>
        <w:t xml:space="preserve"> formal lower/middle market for single and multifamily houses</w:t>
      </w:r>
      <w:r w:rsidR="006A3D26" w:rsidRPr="00FD6E17">
        <w:rPr>
          <w:bCs/>
          <w:lang w:val="en-US"/>
        </w:rPr>
        <w:t xml:space="preserve"> (KPR- RS and </w:t>
      </w:r>
      <w:proofErr w:type="spellStart"/>
      <w:r w:rsidR="006A3D26" w:rsidRPr="00FD6E17">
        <w:rPr>
          <w:bCs/>
          <w:lang w:val="en-US"/>
        </w:rPr>
        <w:t>Rusunami</w:t>
      </w:r>
      <w:proofErr w:type="spellEnd"/>
      <w:r w:rsidR="006A3D26" w:rsidRPr="00FD6E17">
        <w:rPr>
          <w:bCs/>
          <w:lang w:val="en-US"/>
        </w:rPr>
        <w:t>)</w:t>
      </w:r>
      <w:r w:rsidR="00707771" w:rsidRPr="00FD6E17">
        <w:rPr>
          <w:bCs/>
          <w:lang w:val="en-US"/>
        </w:rPr>
        <w:t xml:space="preserve">, but </w:t>
      </w:r>
      <w:r w:rsidR="006A3D26" w:rsidRPr="00FD6E17">
        <w:rPr>
          <w:bCs/>
          <w:lang w:val="en-US"/>
        </w:rPr>
        <w:t xml:space="preserve">also </w:t>
      </w:r>
      <w:r w:rsidR="00707771" w:rsidRPr="00FD6E17">
        <w:rPr>
          <w:bCs/>
          <w:lang w:val="en-US"/>
        </w:rPr>
        <w:t xml:space="preserve">for self-construction and home-improvement </w:t>
      </w:r>
      <w:r w:rsidR="006A3D26" w:rsidRPr="00FD6E17">
        <w:rPr>
          <w:bCs/>
          <w:lang w:val="en-US"/>
        </w:rPr>
        <w:t>by lower</w:t>
      </w:r>
      <w:r w:rsidR="00707771" w:rsidRPr="00FD6E17">
        <w:rPr>
          <w:bCs/>
          <w:lang w:val="en-US"/>
        </w:rPr>
        <w:t>-income or informally employed households</w:t>
      </w:r>
      <w:r w:rsidR="006B0E10" w:rsidRPr="00FD6E17">
        <w:rPr>
          <w:rStyle w:val="FootnoteReference"/>
          <w:bCs/>
          <w:lang w:val="en-US"/>
        </w:rPr>
        <w:footnoteReference w:id="9"/>
      </w:r>
      <w:r w:rsidR="00707771" w:rsidRPr="00FD6E17">
        <w:rPr>
          <w:bCs/>
          <w:lang w:val="en-US"/>
        </w:rPr>
        <w:t>.</w:t>
      </w:r>
      <w:r w:rsidR="006B0E10" w:rsidRPr="00FD6E17">
        <w:rPr>
          <w:bCs/>
          <w:lang w:val="en-US"/>
        </w:rPr>
        <w:t xml:space="preserve"> The assistance can benefit to households earning up to IRP 4.5 million per month (USD 500)- probably the median income in the capital region now-, for investments up to IRP 144,million.</w:t>
      </w:r>
      <w:r w:rsidR="00233F86" w:rsidRPr="00FD6E17">
        <w:rPr>
          <w:bCs/>
          <w:lang w:val="en-US"/>
        </w:rPr>
        <w:t xml:space="preserve"> </w:t>
      </w:r>
      <w:r w:rsidR="00795ACF">
        <w:rPr>
          <w:bCs/>
          <w:lang w:val="en-US"/>
        </w:rPr>
        <w:t xml:space="preserve">                          </w:t>
      </w:r>
    </w:p>
    <w:p w14:paraId="3B753D22" w14:textId="4DB050E4" w:rsidR="000F0D1A" w:rsidRPr="003D3DF2" w:rsidRDefault="006A3D26" w:rsidP="00795ACF">
      <w:pPr>
        <w:pStyle w:val="ListParagraph"/>
        <w:spacing w:after="120" w:line="276" w:lineRule="auto"/>
        <w:ind w:left="0" w:firstLine="567"/>
        <w:rPr>
          <w:lang w:val="en-US"/>
        </w:rPr>
      </w:pPr>
      <w:r w:rsidRPr="00FD6E17">
        <w:rPr>
          <w:bCs/>
          <w:lang w:val="en-US"/>
        </w:rPr>
        <w:t>The outcomes of these programs have been below expectations, for reasons linked to the supply side  -</w:t>
      </w:r>
      <w:r w:rsidR="005B411D" w:rsidRPr="00DE0FEE">
        <w:rPr>
          <w:bCs/>
          <w:lang w:val="en-US"/>
        </w:rPr>
        <w:t>insufficient</w:t>
      </w:r>
      <w:r w:rsidRPr="00FD6E17">
        <w:rPr>
          <w:bCs/>
          <w:lang w:val="en-US"/>
        </w:rPr>
        <w:t xml:space="preserve"> attractiveness or land price constraints of low priced housing for developers</w:t>
      </w:r>
      <w:r w:rsidRPr="00FD6E17">
        <w:rPr>
          <w:rStyle w:val="FootnoteReference"/>
          <w:bCs/>
          <w:lang w:val="en-US"/>
        </w:rPr>
        <w:footnoteReference w:id="10"/>
      </w:r>
      <w:r w:rsidRPr="00FD6E17">
        <w:rPr>
          <w:bCs/>
          <w:lang w:val="en-US"/>
        </w:rPr>
        <w:t xml:space="preserve">- as well as </w:t>
      </w:r>
      <w:r w:rsidR="00F413CA" w:rsidRPr="00DE0FEE">
        <w:rPr>
          <w:bCs/>
          <w:lang w:val="en-US"/>
        </w:rPr>
        <w:t>to the</w:t>
      </w:r>
      <w:r w:rsidR="003D3DF2" w:rsidRPr="00FD6E17">
        <w:rPr>
          <w:bCs/>
          <w:lang w:val="en-US"/>
        </w:rPr>
        <w:t xml:space="preserve"> financial s</w:t>
      </w:r>
      <w:r w:rsidR="005B411D" w:rsidRPr="00DE0FEE">
        <w:rPr>
          <w:bCs/>
          <w:lang w:val="en-US"/>
        </w:rPr>
        <w:t>ide</w:t>
      </w:r>
      <w:r w:rsidR="003D3DF2" w:rsidRPr="00FD6E17">
        <w:rPr>
          <w:bCs/>
          <w:lang w:val="en-US"/>
        </w:rPr>
        <w:t xml:space="preserve">: </w:t>
      </w:r>
      <w:r w:rsidR="00F413CA" w:rsidRPr="00DE0FEE">
        <w:rPr>
          <w:bCs/>
          <w:lang w:val="en-US"/>
        </w:rPr>
        <w:t>disinterest of</w:t>
      </w:r>
      <w:r w:rsidR="003D3DF2" w:rsidRPr="00FD6E17">
        <w:rPr>
          <w:bCs/>
          <w:lang w:val="en-US"/>
        </w:rPr>
        <w:t xml:space="preserve"> private banks for small loans – IRP 150 million seems to be a minimum threshold, which re</w:t>
      </w:r>
      <w:r w:rsidR="005B411D" w:rsidRPr="00DE0FEE">
        <w:rPr>
          <w:bCs/>
          <w:lang w:val="en-US"/>
        </w:rPr>
        <w:t>q</w:t>
      </w:r>
      <w:r w:rsidR="003D3DF2" w:rsidRPr="00FD6E17">
        <w:rPr>
          <w:bCs/>
          <w:lang w:val="en-US"/>
        </w:rPr>
        <w:t xml:space="preserve">uires monthly income of at least 4 millions; asset liabilities </w:t>
      </w:r>
      <w:r w:rsidR="005B411D" w:rsidRPr="00DE0FEE">
        <w:rPr>
          <w:bCs/>
          <w:lang w:val="en-US"/>
        </w:rPr>
        <w:t>constraints</w:t>
      </w:r>
      <w:r w:rsidR="003D3DF2" w:rsidRPr="00FD6E17">
        <w:rPr>
          <w:bCs/>
          <w:lang w:val="en-US"/>
        </w:rPr>
        <w:t xml:space="preserve"> as </w:t>
      </w:r>
      <w:r w:rsidR="005B411D" w:rsidRPr="00DE0FEE">
        <w:rPr>
          <w:bCs/>
          <w:lang w:val="en-US"/>
        </w:rPr>
        <w:t>explained</w:t>
      </w:r>
      <w:r w:rsidR="003D3DF2" w:rsidRPr="00FD6E17">
        <w:rPr>
          <w:bCs/>
          <w:lang w:val="en-US"/>
        </w:rPr>
        <w:t xml:space="preserve"> above; insufficient capacities, especially in risk management, of multi-finance companies and regional banks, which would be more appropriate channels to serve informal sector households. In addition, the </w:t>
      </w:r>
      <w:r w:rsidR="005B411D" w:rsidRPr="00DE0FEE">
        <w:rPr>
          <w:bCs/>
          <w:lang w:val="en-US"/>
        </w:rPr>
        <w:t>disbursement of subsidies has be</w:t>
      </w:r>
      <w:r w:rsidR="003D3DF2" w:rsidRPr="00FD6E17">
        <w:rPr>
          <w:bCs/>
          <w:lang w:val="en-US"/>
        </w:rPr>
        <w:t xml:space="preserve">en affected by </w:t>
      </w:r>
      <w:r w:rsidR="005B411D" w:rsidRPr="00DE0FEE">
        <w:rPr>
          <w:bCs/>
          <w:lang w:val="en-US"/>
        </w:rPr>
        <w:t>budgetary</w:t>
      </w:r>
      <w:r w:rsidR="003D3DF2" w:rsidRPr="00FD6E17">
        <w:rPr>
          <w:bCs/>
          <w:lang w:val="en-US"/>
        </w:rPr>
        <w:t xml:space="preserve"> constraints in terms of volume and regularity. </w:t>
      </w:r>
    </w:p>
    <w:p w14:paraId="7E230EA9" w14:textId="16C6CBFA" w:rsidR="002B1CFF" w:rsidRPr="00F413CA" w:rsidRDefault="002B1CFF" w:rsidP="00E52E4F">
      <w:pPr>
        <w:spacing w:line="276" w:lineRule="auto"/>
        <w:rPr>
          <w:lang w:val="en-US"/>
        </w:rPr>
      </w:pPr>
      <w:r w:rsidRPr="00F413CA">
        <w:rPr>
          <w:lang w:val="en-US"/>
        </w:rPr>
        <w:t xml:space="preserve">. </w:t>
      </w:r>
    </w:p>
    <w:p w14:paraId="21F66315" w14:textId="77777777" w:rsidR="008A3C06" w:rsidRPr="007C4C85" w:rsidRDefault="00DE0FEE" w:rsidP="00E52E4F">
      <w:pPr>
        <w:pStyle w:val="ListParagraph"/>
        <w:spacing w:line="276" w:lineRule="auto"/>
        <w:ind w:left="0" w:firstLine="567"/>
        <w:rPr>
          <w:lang w:val="en-US"/>
        </w:rPr>
      </w:pPr>
      <w:r>
        <w:rPr>
          <w:lang w:val="en-US"/>
        </w:rPr>
        <w:t xml:space="preserve">b) </w:t>
      </w:r>
      <w:r w:rsidR="009975A1" w:rsidRPr="00DE0FEE">
        <w:rPr>
          <w:lang w:val="en-US"/>
        </w:rPr>
        <w:t>To remedy some of these obstacles, a new subsidy scheme and management system has been developed at the end of 2010.</w:t>
      </w:r>
      <w:r w:rsidR="009975A1" w:rsidRPr="007C4C85">
        <w:rPr>
          <w:lang w:val="en-US"/>
        </w:rPr>
        <w:t xml:space="preserve"> </w:t>
      </w:r>
    </w:p>
    <w:p w14:paraId="0443CF82" w14:textId="77777777" w:rsidR="008A3C06" w:rsidRDefault="008A3C06" w:rsidP="00E52E4F">
      <w:pPr>
        <w:spacing w:line="276" w:lineRule="auto"/>
        <w:rPr>
          <w:lang w:val="en-US"/>
        </w:rPr>
      </w:pPr>
      <w:r>
        <w:rPr>
          <w:lang w:val="en-US"/>
        </w:rPr>
        <w:t xml:space="preserve">The government provides long term funding at very low cost – 0.5%- to financial institutions in a proportion of 40% of lending. Loans interest rates are set at fixed levels, </w:t>
      </w:r>
      <w:r w:rsidR="00B10831">
        <w:rPr>
          <w:lang w:val="en-US"/>
        </w:rPr>
        <w:t>increasing with</w:t>
      </w:r>
      <w:r w:rsidR="00DB6BD5">
        <w:rPr>
          <w:lang w:val="en-US"/>
        </w:rPr>
        <w:t xml:space="preserve"> the amount borrowed</w:t>
      </w:r>
      <w:r w:rsidR="00B10831">
        <w:rPr>
          <w:lang w:val="en-US"/>
        </w:rPr>
        <w:t xml:space="preserve"> and ranging</w:t>
      </w:r>
      <w:r w:rsidR="00DB6BD5">
        <w:rPr>
          <w:lang w:val="en-US"/>
        </w:rPr>
        <w:t xml:space="preserve"> from 8.15% to 9.80% p.a</w:t>
      </w:r>
      <w:proofErr w:type="gramStart"/>
      <w:r w:rsidR="00DB6BD5">
        <w:rPr>
          <w:lang w:val="en-US"/>
        </w:rPr>
        <w:t>.</w:t>
      </w:r>
      <w:r w:rsidR="00B10831">
        <w:rPr>
          <w:lang w:val="en-US"/>
        </w:rPr>
        <w:t>.</w:t>
      </w:r>
      <w:proofErr w:type="gramEnd"/>
    </w:p>
    <w:p w14:paraId="387C6E84" w14:textId="77777777" w:rsidR="00A57F20" w:rsidRDefault="009975A1" w:rsidP="00E52E4F">
      <w:pPr>
        <w:spacing w:line="276" w:lineRule="auto"/>
        <w:rPr>
          <w:lang w:val="en-US"/>
        </w:rPr>
      </w:pPr>
      <w:r>
        <w:rPr>
          <w:lang w:val="en-US"/>
        </w:rPr>
        <w:t xml:space="preserve">The </w:t>
      </w:r>
      <w:r w:rsidR="008A3C06">
        <w:rPr>
          <w:lang w:val="en-US"/>
        </w:rPr>
        <w:t>eligibility criteria are (</w:t>
      </w:r>
      <w:proofErr w:type="spellStart"/>
      <w:r w:rsidR="008A3C06">
        <w:rPr>
          <w:lang w:val="en-US"/>
        </w:rPr>
        <w:t>i</w:t>
      </w:r>
      <w:proofErr w:type="spellEnd"/>
      <w:r w:rsidR="008A3C06">
        <w:rPr>
          <w:lang w:val="en-US"/>
        </w:rPr>
        <w:t xml:space="preserve">) a first time purchase/construction; (ii) income ceilings: IRP 2.5 million (house) or 4.5 million (apartment); (iii) evidence of income </w:t>
      </w:r>
      <w:r w:rsidR="00B10831">
        <w:rPr>
          <w:lang w:val="en-US"/>
        </w:rPr>
        <w:t xml:space="preserve">tax. </w:t>
      </w:r>
    </w:p>
    <w:p w14:paraId="18A891F3" w14:textId="28FD6F14" w:rsidR="00B10831" w:rsidRDefault="00B10831" w:rsidP="0082142D">
      <w:pPr>
        <w:spacing w:after="120" w:line="276" w:lineRule="auto"/>
      </w:pPr>
      <w:r>
        <w:rPr>
          <w:lang w:val="en-US"/>
        </w:rPr>
        <w:lastRenderedPageBreak/>
        <w:t xml:space="preserve">The funding will be housed in a generic </w:t>
      </w:r>
      <w:r w:rsidR="00795ACF">
        <w:rPr>
          <w:lang w:val="en-US"/>
        </w:rPr>
        <w:t>acco</w:t>
      </w:r>
      <w:r w:rsidR="007E4659">
        <w:rPr>
          <w:lang w:val="en-US"/>
        </w:rPr>
        <w:t>u</w:t>
      </w:r>
      <w:r w:rsidR="00795ACF">
        <w:rPr>
          <w:lang w:val="en-US"/>
        </w:rPr>
        <w:t>nting</w:t>
      </w:r>
      <w:r>
        <w:rPr>
          <w:lang w:val="en-US"/>
        </w:rPr>
        <w:t xml:space="preserve"> structure</w:t>
      </w:r>
      <w:r w:rsidR="00FE444A">
        <w:rPr>
          <w:lang w:val="en-US"/>
        </w:rPr>
        <w:t>, BLU</w:t>
      </w:r>
      <w:r>
        <w:rPr>
          <w:lang w:val="en-US"/>
        </w:rPr>
        <w:t xml:space="preserve"> – in this specific case </w:t>
      </w:r>
      <w:r w:rsidRPr="00B10831">
        <w:t xml:space="preserve">BLU </w:t>
      </w:r>
      <w:r w:rsidRPr="00FD6E17">
        <w:t>Pembiayaan Perumahan</w:t>
      </w:r>
      <w:r>
        <w:t xml:space="preserve"> (BLU- PP)- designed as a revolving mechanism aim</w:t>
      </w:r>
      <w:r w:rsidR="00C27FCC">
        <w:t>ed</w:t>
      </w:r>
      <w:r>
        <w:t xml:space="preserve"> at ensuring the continuity of the flow of resources throughout fiscal years</w:t>
      </w:r>
      <w:r w:rsidR="00A57F20">
        <w:t xml:space="preserve">, and </w:t>
      </w:r>
      <w:r w:rsidR="00EC3BF6">
        <w:t>combining</w:t>
      </w:r>
      <w:r w:rsidR="00C27FCC">
        <w:t xml:space="preserve"> various sources of funds. It </w:t>
      </w:r>
      <w:r w:rsidR="00A57F20">
        <w:t xml:space="preserve">is described as a liquidity facility, FLPP </w:t>
      </w:r>
      <w:r>
        <w:t xml:space="preserve">. </w:t>
      </w:r>
      <w:r w:rsidR="00EC3BF6">
        <w:t xml:space="preserve"> </w:t>
      </w:r>
      <w:r w:rsidR="00A57F20">
        <w:t>FLPP will be funded from the government budget – IRP 5 trillion h</w:t>
      </w:r>
      <w:r w:rsidR="00FE444A">
        <w:t>a</w:t>
      </w:r>
      <w:r w:rsidR="00A57F20">
        <w:t>ve been mentioned- , but also by institutional investors such as t</w:t>
      </w:r>
      <w:r w:rsidR="00B5752B">
        <w:t>he</w:t>
      </w:r>
      <w:r w:rsidR="00A57F20">
        <w:t xml:space="preserve"> Social Security fund </w:t>
      </w:r>
      <w:r w:rsidR="00B5752B">
        <w:t>Jamsostek and other social safety net entities.</w:t>
      </w:r>
    </w:p>
    <w:p w14:paraId="15F3E282" w14:textId="77777777" w:rsidR="002B121E" w:rsidRDefault="002B121E" w:rsidP="0082142D">
      <w:pPr>
        <w:spacing w:line="276" w:lineRule="auto"/>
      </w:pPr>
      <w:r>
        <w:t>The new systems raises several issues:</w:t>
      </w:r>
    </w:p>
    <w:p w14:paraId="484556CA" w14:textId="77777777" w:rsidR="002B121E" w:rsidRDefault="00C27FCC" w:rsidP="00E52E4F">
      <w:pPr>
        <w:pStyle w:val="ListParagraph"/>
        <w:numPr>
          <w:ilvl w:val="0"/>
          <w:numId w:val="39"/>
        </w:numPr>
        <w:spacing w:line="276" w:lineRule="auto"/>
        <w:ind w:left="0" w:firstLine="357"/>
        <w:rPr>
          <w:lang w:val="en-US"/>
        </w:rPr>
      </w:pPr>
      <w:r>
        <w:rPr>
          <w:lang w:val="en-US"/>
        </w:rPr>
        <w:t xml:space="preserve">It is not financially efficient to fund loans on fiscal resources: this scarce source of </w:t>
      </w:r>
      <w:r w:rsidR="00D57D92">
        <w:rPr>
          <w:lang w:val="en-US"/>
        </w:rPr>
        <w:t>finance should</w:t>
      </w:r>
      <w:r>
        <w:rPr>
          <w:lang w:val="en-US"/>
        </w:rPr>
        <w:t xml:space="preserve"> be </w:t>
      </w:r>
      <w:r w:rsidR="00F53D13">
        <w:rPr>
          <w:lang w:val="en-US"/>
        </w:rPr>
        <w:t>used to</w:t>
      </w:r>
      <w:r>
        <w:rPr>
          <w:lang w:val="en-US"/>
        </w:rPr>
        <w:t xml:space="preserve"> leverage market resources, </w:t>
      </w:r>
      <w:r w:rsidR="00D57D92">
        <w:rPr>
          <w:lang w:val="en-US"/>
        </w:rPr>
        <w:t xml:space="preserve">and </w:t>
      </w:r>
      <w:r>
        <w:rPr>
          <w:lang w:val="en-US"/>
        </w:rPr>
        <w:t xml:space="preserve">not be invested in houses. Experience shows </w:t>
      </w:r>
      <w:r w:rsidR="00F53D13">
        <w:rPr>
          <w:lang w:val="en-US"/>
        </w:rPr>
        <w:t>that revolving</w:t>
      </w:r>
      <w:r>
        <w:rPr>
          <w:lang w:val="en-US"/>
        </w:rPr>
        <w:t xml:space="preserve"> schemes are quickly depleted </w:t>
      </w:r>
      <w:r w:rsidR="00D57D92">
        <w:rPr>
          <w:lang w:val="en-US"/>
        </w:rPr>
        <w:t>due to price increases</w:t>
      </w:r>
    </w:p>
    <w:p w14:paraId="271F5AC0" w14:textId="5D9E5367" w:rsidR="00D57D92" w:rsidRDefault="00D57D92" w:rsidP="00E52E4F">
      <w:pPr>
        <w:pStyle w:val="ListParagraph"/>
        <w:numPr>
          <w:ilvl w:val="0"/>
          <w:numId w:val="39"/>
        </w:numPr>
        <w:spacing w:line="276" w:lineRule="auto"/>
        <w:ind w:left="0" w:firstLine="357"/>
        <w:rPr>
          <w:lang w:val="en-US"/>
        </w:rPr>
      </w:pPr>
      <w:r>
        <w:rPr>
          <w:lang w:val="en-US"/>
        </w:rPr>
        <w:t xml:space="preserve">The fixity of interest rates may very well put off many institutions </w:t>
      </w:r>
      <w:r w:rsidR="00FE444A">
        <w:rPr>
          <w:lang w:val="en-US"/>
        </w:rPr>
        <w:t>from participating</w:t>
      </w:r>
      <w:r>
        <w:rPr>
          <w:lang w:val="en-US"/>
        </w:rPr>
        <w:t xml:space="preserve"> in the scheme</w:t>
      </w:r>
    </w:p>
    <w:p w14:paraId="28BB2D3D" w14:textId="560D287D" w:rsidR="00B23C02" w:rsidRPr="0082142D" w:rsidRDefault="00D57D92" w:rsidP="0082142D">
      <w:pPr>
        <w:pStyle w:val="ListParagraph"/>
        <w:numPr>
          <w:ilvl w:val="0"/>
          <w:numId w:val="39"/>
        </w:numPr>
        <w:spacing w:after="240" w:line="276" w:lineRule="auto"/>
        <w:ind w:left="0" w:firstLine="357"/>
        <w:rPr>
          <w:lang w:val="en-US"/>
        </w:rPr>
      </w:pPr>
      <w:r>
        <w:rPr>
          <w:lang w:val="en-US"/>
        </w:rPr>
        <w:t xml:space="preserve">In fact, the only </w:t>
      </w:r>
      <w:r w:rsidR="00EC3BF6">
        <w:rPr>
          <w:lang w:val="en-US"/>
        </w:rPr>
        <w:t xml:space="preserve">actual </w:t>
      </w:r>
      <w:r>
        <w:rPr>
          <w:lang w:val="en-US"/>
        </w:rPr>
        <w:t xml:space="preserve">user is </w:t>
      </w:r>
      <w:r w:rsidR="00EC3BF6">
        <w:rPr>
          <w:lang w:val="en-US"/>
        </w:rPr>
        <w:t xml:space="preserve">currently </w:t>
      </w:r>
      <w:r>
        <w:rPr>
          <w:lang w:val="en-US"/>
        </w:rPr>
        <w:t>BTN, and the system reinforces its monopolistic situation, while securing a high level of intermediation margin</w:t>
      </w:r>
      <w:r>
        <w:rPr>
          <w:rStyle w:val="FootnoteReference"/>
          <w:lang w:val="en-US"/>
        </w:rPr>
        <w:footnoteReference w:id="11"/>
      </w:r>
      <w:r>
        <w:rPr>
          <w:lang w:val="en-US"/>
        </w:rPr>
        <w:t xml:space="preserve"> - which</w:t>
      </w:r>
      <w:r w:rsidR="00FE444A">
        <w:rPr>
          <w:lang w:val="en-US"/>
        </w:rPr>
        <w:t>,</w:t>
      </w:r>
      <w:r>
        <w:rPr>
          <w:lang w:val="en-US"/>
        </w:rPr>
        <w:t xml:space="preserve"> however</w:t>
      </w:r>
      <w:r w:rsidR="00FE444A">
        <w:rPr>
          <w:lang w:val="en-US"/>
        </w:rPr>
        <w:t>,</w:t>
      </w:r>
      <w:r>
        <w:rPr>
          <w:lang w:val="en-US"/>
        </w:rPr>
        <w:t xml:space="preserve"> </w:t>
      </w:r>
      <w:r w:rsidR="00B23C02">
        <w:rPr>
          <w:lang w:val="en-US"/>
        </w:rPr>
        <w:t>is partially justified by the increased exposure to interest rate risk for the 60% share of lending funded by the bank</w:t>
      </w:r>
      <w:r w:rsidR="00F53D13">
        <w:rPr>
          <w:lang w:val="en-US"/>
        </w:rPr>
        <w:t xml:space="preserve">. The system is theoretically open to any lender, but does not address any of the issues that deter private sector institutions </w:t>
      </w:r>
      <w:r w:rsidR="00EC3BF6">
        <w:rPr>
          <w:lang w:val="en-US"/>
        </w:rPr>
        <w:t>from</w:t>
      </w:r>
      <w:r w:rsidR="00F53D13">
        <w:rPr>
          <w:lang w:val="en-US"/>
        </w:rPr>
        <w:t xml:space="preserve"> develop</w:t>
      </w:r>
      <w:r w:rsidR="00EC3BF6">
        <w:rPr>
          <w:lang w:val="en-US"/>
        </w:rPr>
        <w:t>ing</w:t>
      </w:r>
      <w:r w:rsidR="00F53D13">
        <w:rPr>
          <w:lang w:val="en-US"/>
        </w:rPr>
        <w:t xml:space="preserve"> products for lower income groups. Incentivizing new participants appear all the more important that BTN faces more funding constraints than other banks.</w:t>
      </w:r>
    </w:p>
    <w:p w14:paraId="2FC33F06" w14:textId="77777777" w:rsidR="00B23C02" w:rsidRPr="00DE0FEE" w:rsidRDefault="00DE0FEE" w:rsidP="0082142D">
      <w:pPr>
        <w:spacing w:after="240" w:line="276" w:lineRule="auto"/>
        <w:rPr>
          <w:lang w:val="en-US"/>
        </w:rPr>
      </w:pPr>
      <w:r>
        <w:rPr>
          <w:lang w:val="en-US"/>
        </w:rPr>
        <w:t xml:space="preserve">        c)  </w:t>
      </w:r>
      <w:r w:rsidR="00B23C02" w:rsidRPr="00DE0FEE">
        <w:rPr>
          <w:lang w:val="en-US"/>
        </w:rPr>
        <w:t>The limits of Micro Finance for Housing are a strong constraint for the deployment of self-construction loans and lending to the informal sector. The Indonesian micro-finance m</w:t>
      </w:r>
      <w:r w:rsidR="00B23C02" w:rsidRPr="007C4C85">
        <w:rPr>
          <w:lang w:val="en-US"/>
        </w:rPr>
        <w:t xml:space="preserve">arket is large, but housing does not seem to be often an explicit credit purpose. Even the major market player, BRI does not offer a micro finance product specific to housing. This gap is detrimental to the government strategy: MFH is a cornerstone of the </w:t>
      </w:r>
      <w:r w:rsidR="00B23C02" w:rsidRPr="00853832">
        <w:rPr>
          <w:lang w:val="en-US"/>
        </w:rPr>
        <w:t xml:space="preserve">self-help programs, it could provide useful complements to assisted basic signal family houses or help an upwards mobility to wards formal housing in need of renovation. </w:t>
      </w:r>
    </w:p>
    <w:p w14:paraId="4AC0B6A5" w14:textId="77777777" w:rsidR="00501347" w:rsidRPr="0082142D" w:rsidRDefault="00501347" w:rsidP="00E52E4F">
      <w:pPr>
        <w:spacing w:line="276" w:lineRule="auto"/>
        <w:rPr>
          <w:b/>
          <w:lang w:val="en-US"/>
        </w:rPr>
      </w:pPr>
    </w:p>
    <w:p w14:paraId="476534BE" w14:textId="26E361A0" w:rsidR="00212C79" w:rsidRPr="0082142D" w:rsidRDefault="0082142D" w:rsidP="00E52E4F">
      <w:pPr>
        <w:spacing w:after="240" w:line="276" w:lineRule="auto"/>
        <w:rPr>
          <w:b/>
          <w:lang w:val="en-US"/>
        </w:rPr>
      </w:pPr>
      <w:r w:rsidRPr="0082142D">
        <w:rPr>
          <w:b/>
          <w:lang w:val="en-US"/>
        </w:rPr>
        <w:t>MAIN RECOMMENDATIONS</w:t>
      </w:r>
    </w:p>
    <w:p w14:paraId="10A53152" w14:textId="77777777" w:rsidR="00934AF5" w:rsidRDefault="00934AF5" w:rsidP="00E52E4F">
      <w:pPr>
        <w:pStyle w:val="ListParagraph"/>
        <w:numPr>
          <w:ilvl w:val="0"/>
          <w:numId w:val="35"/>
        </w:numPr>
        <w:spacing w:after="120" w:line="276" w:lineRule="auto"/>
        <w:ind w:left="0" w:firstLine="0"/>
        <w:rPr>
          <w:b/>
          <w:lang w:val="en-US"/>
        </w:rPr>
      </w:pPr>
      <w:r w:rsidRPr="00FD6E17">
        <w:rPr>
          <w:b/>
          <w:lang w:val="en-US"/>
        </w:rPr>
        <w:t>Develop Savings-for –housing systems</w:t>
      </w:r>
    </w:p>
    <w:p w14:paraId="2C61D787" w14:textId="77777777" w:rsidR="00934AF5" w:rsidRDefault="00934AF5" w:rsidP="00E52E4F">
      <w:pPr>
        <w:spacing w:after="120" w:line="276" w:lineRule="auto"/>
        <w:rPr>
          <w:lang w:val="en-US"/>
        </w:rPr>
      </w:pPr>
      <w:r>
        <w:rPr>
          <w:lang w:val="en-US"/>
        </w:rPr>
        <w:t>The development of capital market is very much needed to comfort the expansion of housing finance in Indonesia. It will however take time, especially if the resources of some large institutional investors are directly allocated to housing through the new FLPP.</w:t>
      </w:r>
    </w:p>
    <w:p w14:paraId="40962D7C" w14:textId="2C616EEE" w:rsidR="002C5132" w:rsidRPr="00934AF5" w:rsidRDefault="002C5132" w:rsidP="00E52E4F">
      <w:pPr>
        <w:spacing w:after="240" w:line="276" w:lineRule="auto"/>
        <w:rPr>
          <w:lang w:val="en-US"/>
        </w:rPr>
      </w:pPr>
      <w:r>
        <w:rPr>
          <w:lang w:val="en-US"/>
        </w:rPr>
        <w:lastRenderedPageBreak/>
        <w:t xml:space="preserve">One route that </w:t>
      </w:r>
      <w:proofErr w:type="spellStart"/>
      <w:r>
        <w:rPr>
          <w:lang w:val="en-US"/>
        </w:rPr>
        <w:t>GoI</w:t>
      </w:r>
      <w:proofErr w:type="spellEnd"/>
      <w:r>
        <w:rPr>
          <w:lang w:val="en-US"/>
        </w:rPr>
        <w:t xml:space="preserve"> may want to consider is the stimulation of private savings prior to </w:t>
      </w:r>
      <w:r w:rsidR="007C4C85">
        <w:rPr>
          <w:lang w:val="en-US"/>
        </w:rPr>
        <w:t xml:space="preserve">investing. </w:t>
      </w:r>
      <w:r>
        <w:rPr>
          <w:lang w:val="en-US"/>
        </w:rPr>
        <w:t xml:space="preserve">Such schemes can be useful in supplementing the long term resources available for housing, and providing comfort to the financial system. There are various ways to design these schemes. A major differentiation is between mandatory and voluntary schemes. The first category  - provident funds for housing- works well only in countries where the formal sector is largely predominant, like in Singapore. </w:t>
      </w:r>
      <w:r w:rsidR="00DE0FEE">
        <w:rPr>
          <w:lang w:val="en-US"/>
        </w:rPr>
        <w:t>Where it is not the case, they</w:t>
      </w:r>
      <w:r>
        <w:rPr>
          <w:lang w:val="en-US"/>
        </w:rPr>
        <w:t xml:space="preserve"> can </w:t>
      </w:r>
      <w:r w:rsidR="00DE0FEE">
        <w:rPr>
          <w:lang w:val="en-US"/>
        </w:rPr>
        <w:t xml:space="preserve">generate </w:t>
      </w:r>
      <w:r>
        <w:rPr>
          <w:lang w:val="en-US"/>
        </w:rPr>
        <w:t xml:space="preserve">  </w:t>
      </w:r>
      <w:r w:rsidR="00DE0FEE">
        <w:rPr>
          <w:lang w:val="en-US"/>
        </w:rPr>
        <w:t xml:space="preserve">inefficiencies  (e.g. Nigeria) or market distortions (e.g. Mexico).  Voluntary schemes bring in the major benefit of facilitating the inclusion of informal sector population – </w:t>
      </w:r>
      <w:r w:rsidR="007C4C85">
        <w:rPr>
          <w:lang w:val="en-US"/>
        </w:rPr>
        <w:t>by being disconnected from employers and by</w:t>
      </w:r>
      <w:r w:rsidR="00DE0FEE">
        <w:rPr>
          <w:lang w:val="en-US"/>
        </w:rPr>
        <w:t xml:space="preserve"> providing means to </w:t>
      </w:r>
      <w:r w:rsidR="007C4C85">
        <w:rPr>
          <w:lang w:val="en-US"/>
        </w:rPr>
        <w:t xml:space="preserve">assess </w:t>
      </w:r>
      <w:r w:rsidR="00DE0FEE">
        <w:rPr>
          <w:lang w:val="en-US"/>
        </w:rPr>
        <w:t>credit risks</w:t>
      </w:r>
      <w:r w:rsidR="007C4C85">
        <w:rPr>
          <w:lang w:val="en-US"/>
        </w:rPr>
        <w:t xml:space="preserve"> in the absence of documented income</w:t>
      </w:r>
      <w:r w:rsidR="00DE0FEE">
        <w:rPr>
          <w:lang w:val="en-US"/>
        </w:rPr>
        <w:t xml:space="preserve">. </w:t>
      </w:r>
      <w:r w:rsidR="00EC3BF6">
        <w:rPr>
          <w:lang w:val="en-US"/>
        </w:rPr>
        <w:t xml:space="preserve">Caution must be exercised however </w:t>
      </w:r>
      <w:r w:rsidR="00B31509">
        <w:rPr>
          <w:lang w:val="en-US"/>
        </w:rPr>
        <w:t>if tax incentives are provided to maintain the liquidity balance of these systems.</w:t>
      </w:r>
    </w:p>
    <w:p w14:paraId="5C5BC6E9" w14:textId="125D2411" w:rsidR="00934AF5" w:rsidRPr="00B5752B" w:rsidRDefault="00B31509" w:rsidP="00E52E4F">
      <w:pPr>
        <w:pStyle w:val="ListParagraph"/>
        <w:numPr>
          <w:ilvl w:val="0"/>
          <w:numId w:val="35"/>
        </w:numPr>
        <w:spacing w:after="240" w:line="276" w:lineRule="auto"/>
        <w:ind w:left="0" w:firstLine="0"/>
        <w:rPr>
          <w:lang w:val="en-US"/>
        </w:rPr>
      </w:pPr>
      <w:r>
        <w:rPr>
          <w:b/>
          <w:lang w:val="en-US"/>
        </w:rPr>
        <w:t>Re-</w:t>
      </w:r>
      <w:proofErr w:type="spellStart"/>
      <w:r>
        <w:rPr>
          <w:b/>
          <w:lang w:val="en-US"/>
        </w:rPr>
        <w:t>evalue</w:t>
      </w:r>
      <w:proofErr w:type="spellEnd"/>
      <w:r>
        <w:rPr>
          <w:b/>
          <w:lang w:val="en-US"/>
        </w:rPr>
        <w:t xml:space="preserve"> PT</w:t>
      </w:r>
      <w:r w:rsidR="00CD18CA">
        <w:rPr>
          <w:b/>
          <w:lang w:val="en-US"/>
        </w:rPr>
        <w:t>-</w:t>
      </w:r>
      <w:r w:rsidR="00934AF5" w:rsidRPr="008A3C06">
        <w:rPr>
          <w:b/>
          <w:lang w:val="en-US"/>
        </w:rPr>
        <w:t xml:space="preserve"> </w:t>
      </w:r>
      <w:r w:rsidR="00934AF5" w:rsidRPr="00FD6E17">
        <w:rPr>
          <w:b/>
          <w:lang w:val="en-US"/>
        </w:rPr>
        <w:t xml:space="preserve">SMF’s </w:t>
      </w:r>
      <w:r w:rsidRPr="00FD6E17">
        <w:rPr>
          <w:b/>
          <w:lang w:val="en-US"/>
        </w:rPr>
        <w:t>value added and strategy</w:t>
      </w:r>
      <w:r>
        <w:rPr>
          <w:lang w:val="en-US"/>
        </w:rPr>
        <w:t xml:space="preserve">. Assisting BTN’s securitization deals is not necessarily the highest benefit that SMF can bring to the market as a whole.  </w:t>
      </w:r>
      <w:r w:rsidR="00934AF5" w:rsidRPr="008A3C06">
        <w:rPr>
          <w:lang w:val="en-US"/>
        </w:rPr>
        <w:t xml:space="preserve">, </w:t>
      </w:r>
      <w:r w:rsidR="00CD18CA">
        <w:rPr>
          <w:lang w:val="en-US"/>
        </w:rPr>
        <w:t xml:space="preserve">The development </w:t>
      </w:r>
      <w:proofErr w:type="gramStart"/>
      <w:r w:rsidR="00CD18CA">
        <w:rPr>
          <w:lang w:val="en-US"/>
        </w:rPr>
        <w:t xml:space="preserve">of </w:t>
      </w:r>
      <w:r w:rsidR="00934AF5" w:rsidRPr="003D3DF2">
        <w:rPr>
          <w:lang w:val="en-US"/>
        </w:rPr>
        <w:t xml:space="preserve"> a</w:t>
      </w:r>
      <w:proofErr w:type="gramEnd"/>
      <w:r w:rsidR="00934AF5" w:rsidRPr="003D3DF2">
        <w:rPr>
          <w:lang w:val="en-US"/>
        </w:rPr>
        <w:t xml:space="preserve"> </w:t>
      </w:r>
      <w:r w:rsidR="00934AF5" w:rsidRPr="005B411D">
        <w:rPr>
          <w:lang w:val="en-US"/>
        </w:rPr>
        <w:t>bond issuance program</w:t>
      </w:r>
      <w:r w:rsidR="00CD18CA">
        <w:rPr>
          <w:lang w:val="en-US"/>
        </w:rPr>
        <w:t xml:space="preserve"> would be important by providing investors with a new class of secured asset </w:t>
      </w:r>
      <w:r w:rsidR="00934AF5" w:rsidRPr="005B411D">
        <w:rPr>
          <w:lang w:val="en-US"/>
        </w:rPr>
        <w:t xml:space="preserve">. </w:t>
      </w:r>
      <w:r w:rsidR="00CD18CA">
        <w:rPr>
          <w:lang w:val="en-US"/>
        </w:rPr>
        <w:t>Subject to adequate</w:t>
      </w:r>
      <w:r w:rsidR="00934AF5" w:rsidRPr="009975A1">
        <w:rPr>
          <w:lang w:val="en-US"/>
        </w:rPr>
        <w:t xml:space="preserve"> operational capacity, SMF’s </w:t>
      </w:r>
      <w:r>
        <w:rPr>
          <w:lang w:val="en-US"/>
        </w:rPr>
        <w:t>added value w</w:t>
      </w:r>
      <w:r w:rsidR="00934AF5" w:rsidRPr="009975A1">
        <w:rPr>
          <w:lang w:val="en-US"/>
        </w:rPr>
        <w:t>ould</w:t>
      </w:r>
      <w:r w:rsidR="00934AF5" w:rsidRPr="008A3C06">
        <w:rPr>
          <w:lang w:val="en-US"/>
        </w:rPr>
        <w:t xml:space="preserve"> be </w:t>
      </w:r>
      <w:r>
        <w:rPr>
          <w:lang w:val="en-US"/>
        </w:rPr>
        <w:t xml:space="preserve">enhanced by focusing </w:t>
      </w:r>
      <w:proofErr w:type="gramStart"/>
      <w:r>
        <w:rPr>
          <w:lang w:val="en-US"/>
        </w:rPr>
        <w:t xml:space="preserve">on </w:t>
      </w:r>
      <w:r w:rsidR="00934AF5" w:rsidRPr="008A3C06">
        <w:rPr>
          <w:lang w:val="en-US"/>
        </w:rPr>
        <w:t xml:space="preserve"> </w:t>
      </w:r>
      <w:r w:rsidR="00F82E1B">
        <w:rPr>
          <w:lang w:val="en-US"/>
        </w:rPr>
        <w:t>the</w:t>
      </w:r>
      <w:proofErr w:type="gramEnd"/>
      <w:r w:rsidR="00934AF5" w:rsidRPr="008A3C06">
        <w:rPr>
          <w:lang w:val="en-US"/>
        </w:rPr>
        <w:t xml:space="preserve"> </w:t>
      </w:r>
      <w:r w:rsidR="00F82E1B">
        <w:rPr>
          <w:lang w:val="en-US"/>
        </w:rPr>
        <w:t xml:space="preserve">stimulation of the overall finance supply by better helping lenders beside BTN, and </w:t>
      </w:r>
      <w:r w:rsidR="00934AF5" w:rsidRPr="008A3C06">
        <w:rPr>
          <w:lang w:val="en-US"/>
        </w:rPr>
        <w:t xml:space="preserve"> </w:t>
      </w:r>
      <w:r w:rsidR="00F82E1B">
        <w:rPr>
          <w:lang w:val="en-US"/>
        </w:rPr>
        <w:t>by playing a central role in developing mortgage securitization globally. Possible options to consider are:</w:t>
      </w:r>
    </w:p>
    <w:p w14:paraId="47EAC2D1" w14:textId="734C160C" w:rsidR="00934AF5" w:rsidRDefault="00934AF5" w:rsidP="00E52E4F">
      <w:pPr>
        <w:numPr>
          <w:ilvl w:val="0"/>
          <w:numId w:val="30"/>
        </w:numPr>
        <w:tabs>
          <w:tab w:val="clear" w:pos="864"/>
          <w:tab w:val="num" w:pos="1080"/>
        </w:tabs>
        <w:spacing w:line="276" w:lineRule="auto"/>
        <w:rPr>
          <w:lang w:val="en-US"/>
        </w:rPr>
      </w:pPr>
      <w:r w:rsidRPr="002B121E">
        <w:rPr>
          <w:lang w:val="en-US"/>
        </w:rPr>
        <w:t>C</w:t>
      </w:r>
      <w:r w:rsidR="00F82E1B">
        <w:rPr>
          <w:lang w:val="en-US"/>
        </w:rPr>
        <w:t xml:space="preserve">reate </w:t>
      </w:r>
      <w:r w:rsidRPr="002B121E">
        <w:rPr>
          <w:lang w:val="en-US"/>
        </w:rPr>
        <w:t xml:space="preserve">a short term refinance window. Beside long term refinance, SMF </w:t>
      </w:r>
      <w:r w:rsidRPr="0029780C">
        <w:rPr>
          <w:lang w:val="en-US"/>
        </w:rPr>
        <w:t>could help primary lenders</w:t>
      </w:r>
      <w:r w:rsidR="00F82E1B">
        <w:rPr>
          <w:lang w:val="en-US"/>
        </w:rPr>
        <w:t>, and before all commercial banks</w:t>
      </w:r>
      <w:r w:rsidR="00CD18CA">
        <w:rPr>
          <w:lang w:val="en-US"/>
        </w:rPr>
        <w:t xml:space="preserve">, </w:t>
      </w:r>
      <w:r w:rsidR="00CD18CA" w:rsidRPr="0029780C">
        <w:rPr>
          <w:lang w:val="en-US"/>
        </w:rPr>
        <w:t>to</w:t>
      </w:r>
      <w:r w:rsidRPr="0029780C">
        <w:rPr>
          <w:lang w:val="en-US"/>
        </w:rPr>
        <w:t xml:space="preserve"> manage their short term liquidity posi</w:t>
      </w:r>
      <w:r w:rsidRPr="00A83CBE">
        <w:rPr>
          <w:lang w:val="en-US"/>
        </w:rPr>
        <w:t xml:space="preserve">tion. </w:t>
      </w:r>
      <w:r w:rsidRPr="00280F2F">
        <w:rPr>
          <w:lang w:val="en-US"/>
        </w:rPr>
        <w:t>This could be done through a repo type of window, using mortgage portfolio</w:t>
      </w:r>
      <w:r w:rsidRPr="000570C1">
        <w:rPr>
          <w:lang w:val="en-US"/>
        </w:rPr>
        <w:t xml:space="preserve">s as collaterals  </w:t>
      </w:r>
    </w:p>
    <w:p w14:paraId="1440B487" w14:textId="3F399042" w:rsidR="00934AF5" w:rsidRDefault="00934AF5" w:rsidP="00E52E4F">
      <w:pPr>
        <w:numPr>
          <w:ilvl w:val="0"/>
          <w:numId w:val="30"/>
        </w:numPr>
        <w:tabs>
          <w:tab w:val="clear" w:pos="864"/>
          <w:tab w:val="num" w:pos="1080"/>
        </w:tabs>
        <w:spacing w:line="276" w:lineRule="auto"/>
        <w:rPr>
          <w:lang w:val="en-US"/>
        </w:rPr>
      </w:pPr>
      <w:r w:rsidRPr="00F82E1B">
        <w:rPr>
          <w:lang w:val="en-US"/>
        </w:rPr>
        <w:t xml:space="preserve">Emphasize the support to alternative </w:t>
      </w:r>
      <w:r w:rsidR="00CD18CA" w:rsidRPr="00F82E1B">
        <w:rPr>
          <w:lang w:val="en-US"/>
        </w:rPr>
        <w:t xml:space="preserve">lenders. </w:t>
      </w:r>
      <w:r w:rsidRPr="00F82E1B">
        <w:rPr>
          <w:lang w:val="en-US"/>
        </w:rPr>
        <w:t xml:space="preserve">Funding is a major obstacle for smaller </w:t>
      </w:r>
      <w:r w:rsidR="003D40FA">
        <w:rPr>
          <w:lang w:val="en-US"/>
        </w:rPr>
        <w:t>institutions</w:t>
      </w:r>
      <w:r w:rsidRPr="00F82E1B">
        <w:rPr>
          <w:lang w:val="en-US"/>
        </w:rPr>
        <w:t xml:space="preserve"> to develop long term lending. A larger access to </w:t>
      </w:r>
      <w:r w:rsidRPr="00CD18CA">
        <w:rPr>
          <w:lang w:val="en-US"/>
        </w:rPr>
        <w:t xml:space="preserve">SMF would stimulate the involvement of these institutions and given their commercial target, de facto support the public low income housing programs.  </w:t>
      </w:r>
      <w:r w:rsidR="00F82E1B">
        <w:rPr>
          <w:lang w:val="en-US"/>
        </w:rPr>
        <w:t xml:space="preserve">SMF as a </w:t>
      </w:r>
      <w:proofErr w:type="spellStart"/>
      <w:r w:rsidR="00F82E1B">
        <w:rPr>
          <w:lang w:val="en-US"/>
        </w:rPr>
        <w:t>refinancier</w:t>
      </w:r>
      <w:proofErr w:type="spellEnd"/>
      <w:r w:rsidR="00F82E1B">
        <w:rPr>
          <w:lang w:val="en-US"/>
        </w:rPr>
        <w:t xml:space="preserve"> could also </w:t>
      </w:r>
      <w:r w:rsidR="00CD18CA">
        <w:rPr>
          <w:lang w:val="en-US"/>
        </w:rPr>
        <w:t>have a major impact on the sustainability of this market development by</w:t>
      </w:r>
      <w:r w:rsidRPr="00F82E1B">
        <w:rPr>
          <w:lang w:val="en-US"/>
        </w:rPr>
        <w:t xml:space="preserve"> </w:t>
      </w:r>
      <w:r w:rsidR="00CD18CA">
        <w:rPr>
          <w:lang w:val="en-US"/>
        </w:rPr>
        <w:t>promoting</w:t>
      </w:r>
      <w:r w:rsidRPr="00F82E1B">
        <w:rPr>
          <w:lang w:val="en-US"/>
        </w:rPr>
        <w:t xml:space="preserve"> safety and soundness standards in selecting </w:t>
      </w:r>
      <w:r w:rsidR="00CD18CA">
        <w:rPr>
          <w:lang w:val="en-US"/>
        </w:rPr>
        <w:t xml:space="preserve">and assisting </w:t>
      </w:r>
      <w:r w:rsidRPr="00F82E1B">
        <w:rPr>
          <w:lang w:val="en-US"/>
        </w:rPr>
        <w:t>eligible institutions</w:t>
      </w:r>
    </w:p>
    <w:p w14:paraId="3131514A" w14:textId="77AC773B" w:rsidR="00CD18CA" w:rsidRDefault="003D40FA" w:rsidP="00E52E4F">
      <w:pPr>
        <w:numPr>
          <w:ilvl w:val="0"/>
          <w:numId w:val="30"/>
        </w:numPr>
        <w:tabs>
          <w:tab w:val="clear" w:pos="864"/>
          <w:tab w:val="num" w:pos="1080"/>
        </w:tabs>
        <w:spacing w:line="276" w:lineRule="auto"/>
        <w:rPr>
          <w:lang w:val="en-US"/>
        </w:rPr>
      </w:pPr>
      <w:r>
        <w:rPr>
          <w:lang w:val="en-US"/>
        </w:rPr>
        <w:t xml:space="preserve">Take the lead in developing market standards for mortgage securitization, and ensure the conditions of investors’ confidence by </w:t>
      </w:r>
      <w:r w:rsidR="00FE444A">
        <w:rPr>
          <w:lang w:val="en-US"/>
        </w:rPr>
        <w:t>providing due</w:t>
      </w:r>
      <w:r>
        <w:rPr>
          <w:lang w:val="en-US"/>
        </w:rPr>
        <w:t xml:space="preserve"> diligence services, oversight functions such as master servicing , organizing the flow of information of portfolios and market transactions, etc.</w:t>
      </w:r>
    </w:p>
    <w:p w14:paraId="0A3975BC" w14:textId="77777777" w:rsidR="003D40FA" w:rsidRDefault="003D40FA" w:rsidP="00E52E4F">
      <w:pPr>
        <w:spacing w:line="276" w:lineRule="auto"/>
        <w:rPr>
          <w:lang w:val="en-US"/>
        </w:rPr>
      </w:pPr>
    </w:p>
    <w:p w14:paraId="596659CE" w14:textId="01F1169B" w:rsidR="003D40FA" w:rsidRDefault="00AC35DD" w:rsidP="00E52E4F">
      <w:pPr>
        <w:pStyle w:val="ListParagraph"/>
        <w:numPr>
          <w:ilvl w:val="0"/>
          <w:numId w:val="35"/>
        </w:numPr>
        <w:spacing w:after="240" w:line="276" w:lineRule="auto"/>
        <w:ind w:left="0" w:firstLine="0"/>
        <w:rPr>
          <w:lang w:val="en-US"/>
        </w:rPr>
      </w:pPr>
      <w:r>
        <w:rPr>
          <w:b/>
          <w:lang w:val="en-US"/>
        </w:rPr>
        <w:t xml:space="preserve">Consider developing a new credit enhancement </w:t>
      </w:r>
      <w:r w:rsidR="00FE444A">
        <w:rPr>
          <w:b/>
          <w:lang w:val="en-US"/>
        </w:rPr>
        <w:t>scheme specifically</w:t>
      </w:r>
      <w:r>
        <w:rPr>
          <w:b/>
          <w:lang w:val="en-US"/>
        </w:rPr>
        <w:t xml:space="preserve"> targeting low </w:t>
      </w:r>
      <w:proofErr w:type="gramStart"/>
      <w:r>
        <w:rPr>
          <w:b/>
          <w:lang w:val="en-US"/>
        </w:rPr>
        <w:t>income  and</w:t>
      </w:r>
      <w:proofErr w:type="gramEnd"/>
      <w:r>
        <w:rPr>
          <w:b/>
          <w:lang w:val="en-US"/>
        </w:rPr>
        <w:t xml:space="preserve"> informal sector borrower. </w:t>
      </w:r>
      <w:r>
        <w:rPr>
          <w:lang w:val="en-US"/>
        </w:rPr>
        <w:t xml:space="preserve"> One major obstacle to the deepening of the market, including in the case of BTN, is probably </w:t>
      </w:r>
      <w:r w:rsidR="00FE444A">
        <w:rPr>
          <w:lang w:val="en-US"/>
        </w:rPr>
        <w:t>the fear</w:t>
      </w:r>
      <w:r>
        <w:rPr>
          <w:lang w:val="en-US"/>
        </w:rPr>
        <w:t xml:space="preserve"> of credit risk generated by the currently underserved population. A risk sharing scheme, supported by the government </w:t>
      </w:r>
      <w:r>
        <w:rPr>
          <w:lang w:val="en-US"/>
        </w:rPr>
        <w:lastRenderedPageBreak/>
        <w:t>but still established on actuarially sound bases and promoting prudent lending standards</w:t>
      </w:r>
      <w:r>
        <w:rPr>
          <w:rStyle w:val="FootnoteReference"/>
          <w:lang w:val="en-US"/>
        </w:rPr>
        <w:footnoteReference w:id="12"/>
      </w:r>
      <w:r>
        <w:rPr>
          <w:lang w:val="en-US"/>
        </w:rPr>
        <w:t xml:space="preserve"> , could act as an important lever in this respect</w:t>
      </w:r>
      <w:r w:rsidR="00024367">
        <w:rPr>
          <w:lang w:val="en-US"/>
        </w:rPr>
        <w:t xml:space="preserve">. The participation to the SID network would be to include in the requirements of the scheme. </w:t>
      </w:r>
    </w:p>
    <w:p w14:paraId="37DF0AA2" w14:textId="78EA0421" w:rsidR="00024367" w:rsidRPr="009975A1" w:rsidRDefault="00024367" w:rsidP="00E52E4F">
      <w:pPr>
        <w:numPr>
          <w:ilvl w:val="0"/>
          <w:numId w:val="35"/>
        </w:numPr>
        <w:spacing w:after="240" w:line="276" w:lineRule="auto"/>
        <w:ind w:left="0" w:firstLine="0"/>
        <w:rPr>
          <w:b/>
          <w:lang w:val="en-US"/>
        </w:rPr>
      </w:pPr>
      <w:r w:rsidRPr="009975A1">
        <w:rPr>
          <w:b/>
          <w:lang w:val="en-US"/>
        </w:rPr>
        <w:t>Build the capacities of regional banks and micro-finance/cooperative</w:t>
      </w:r>
      <w:r w:rsidRPr="008A3C06">
        <w:rPr>
          <w:b/>
          <w:lang w:val="en-US"/>
        </w:rPr>
        <w:t xml:space="preserve"> institutions</w:t>
      </w:r>
      <w:r w:rsidRPr="00DB6BD5">
        <w:rPr>
          <w:b/>
          <w:lang w:val="en-US"/>
        </w:rPr>
        <w:t xml:space="preserve">. </w:t>
      </w:r>
      <w:r w:rsidRPr="00B10831">
        <w:rPr>
          <w:lang w:val="en-US"/>
        </w:rPr>
        <w:t>Beside a</w:t>
      </w:r>
      <w:r>
        <w:rPr>
          <w:lang w:val="en-US"/>
        </w:rPr>
        <w:t xml:space="preserve">n </w:t>
      </w:r>
      <w:r w:rsidR="00FE444A">
        <w:rPr>
          <w:lang w:val="en-US"/>
        </w:rPr>
        <w:t>easier</w:t>
      </w:r>
      <w:r w:rsidR="00FE444A" w:rsidRPr="00B10831">
        <w:rPr>
          <w:lang w:val="en-US"/>
        </w:rPr>
        <w:t xml:space="preserve"> access</w:t>
      </w:r>
      <w:r w:rsidRPr="00B10831">
        <w:rPr>
          <w:lang w:val="en-US"/>
        </w:rPr>
        <w:t xml:space="preserve"> to </w:t>
      </w:r>
      <w:r>
        <w:rPr>
          <w:lang w:val="en-US"/>
        </w:rPr>
        <w:t>PT-SMF</w:t>
      </w:r>
      <w:proofErr w:type="gramStart"/>
      <w:r>
        <w:rPr>
          <w:lang w:val="en-US"/>
        </w:rPr>
        <w:t>,</w:t>
      </w:r>
      <w:r w:rsidRPr="00B5752B">
        <w:rPr>
          <w:lang w:val="en-US"/>
        </w:rPr>
        <w:t>,</w:t>
      </w:r>
      <w:proofErr w:type="gramEnd"/>
      <w:r w:rsidRPr="00B5752B">
        <w:rPr>
          <w:lang w:val="en-US"/>
        </w:rPr>
        <w:t xml:space="preserve"> many non</w:t>
      </w:r>
      <w:r w:rsidRPr="002B121E">
        <w:rPr>
          <w:lang w:val="en-US"/>
        </w:rPr>
        <w:t>-mainstream institutions would benefit from large capacity building programs (</w:t>
      </w:r>
      <w:r w:rsidRPr="0029780C">
        <w:rPr>
          <w:lang w:val="en-US"/>
        </w:rPr>
        <w:t>dissemination of expertise, internal organization, product development, business plans, etc.)</w:t>
      </w:r>
      <w:r w:rsidRPr="003D3DF2">
        <w:rPr>
          <w:rStyle w:val="FootnoteReference"/>
          <w:lang w:val="en-US"/>
        </w:rPr>
        <w:footnoteReference w:id="13"/>
      </w:r>
      <w:r w:rsidRPr="003D3DF2">
        <w:rPr>
          <w:lang w:val="en-US"/>
        </w:rPr>
        <w:t>.</w:t>
      </w:r>
      <w:r w:rsidRPr="005B411D">
        <w:rPr>
          <w:lang w:val="en-US"/>
        </w:rPr>
        <w:t xml:space="preserve"> Technical assistance to reengineer business processes with the view of low</w:t>
      </w:r>
      <w:r w:rsidRPr="00F413CA">
        <w:rPr>
          <w:lang w:val="en-US"/>
        </w:rPr>
        <w:t>ering the cost of small loans</w:t>
      </w:r>
      <w:r w:rsidRPr="003D3DF2">
        <w:rPr>
          <w:rStyle w:val="FootnoteReference"/>
          <w:lang w:val="en-US"/>
        </w:rPr>
        <w:footnoteReference w:id="14"/>
      </w:r>
      <w:r w:rsidRPr="003D3DF2">
        <w:rPr>
          <w:lang w:val="en-US"/>
        </w:rPr>
        <w:t xml:space="preserve"> would be </w:t>
      </w:r>
      <w:r>
        <w:rPr>
          <w:lang w:val="en-US"/>
        </w:rPr>
        <w:t>of utmost importance</w:t>
      </w:r>
      <w:r w:rsidRPr="005B411D">
        <w:rPr>
          <w:lang w:val="en-US"/>
        </w:rPr>
        <w:t xml:space="preserve"> </w:t>
      </w:r>
    </w:p>
    <w:p w14:paraId="60338FAF" w14:textId="239745ED" w:rsidR="00E51B32" w:rsidRPr="00FD6E17" w:rsidRDefault="001611AB" w:rsidP="00E52E4F">
      <w:pPr>
        <w:pStyle w:val="ListParagraph"/>
        <w:numPr>
          <w:ilvl w:val="0"/>
          <w:numId w:val="35"/>
        </w:numPr>
        <w:spacing w:after="120" w:line="276" w:lineRule="auto"/>
        <w:ind w:left="0" w:firstLine="0"/>
        <w:rPr>
          <w:b/>
          <w:lang w:val="en-US"/>
        </w:rPr>
      </w:pPr>
      <w:r w:rsidRPr="00FD6E17">
        <w:rPr>
          <w:b/>
          <w:lang w:val="en-US"/>
        </w:rPr>
        <w:t>Enhance the impact of FLPP on the economic and social efficiency of low income housing finance</w:t>
      </w:r>
      <w:r>
        <w:rPr>
          <w:b/>
          <w:lang w:val="en-US"/>
        </w:rPr>
        <w:t xml:space="preserve">. </w:t>
      </w:r>
      <w:r>
        <w:rPr>
          <w:lang w:val="en-US"/>
        </w:rPr>
        <w:t xml:space="preserve">The introduction of the liquidity facility, in principle accessible to any lender, should be an opportunity to improve the efficiency of the lending mechanism towards underserved categories. </w:t>
      </w:r>
      <w:r w:rsidR="00E51B32">
        <w:rPr>
          <w:lang w:val="en-US"/>
        </w:rPr>
        <w:t>In particular, a significant enhancement of FLPP’s role could result from:</w:t>
      </w:r>
    </w:p>
    <w:p w14:paraId="7087F62D" w14:textId="7E3CD8D4" w:rsidR="00AC35DD" w:rsidRDefault="00E51B32" w:rsidP="00E52E4F">
      <w:pPr>
        <w:pStyle w:val="ListParagraph"/>
        <w:numPr>
          <w:ilvl w:val="0"/>
          <w:numId w:val="44"/>
        </w:numPr>
        <w:spacing w:after="120" w:line="276" w:lineRule="auto"/>
        <w:ind w:left="0" w:firstLine="567"/>
        <w:rPr>
          <w:lang w:val="en-US"/>
        </w:rPr>
      </w:pPr>
      <w:r w:rsidRPr="00E51B32">
        <w:rPr>
          <w:lang w:val="en-US"/>
        </w:rPr>
        <w:t>Switching</w:t>
      </w:r>
      <w:r w:rsidRPr="00FD6E17">
        <w:rPr>
          <w:lang w:val="en-US"/>
        </w:rPr>
        <w:t xml:space="preserve"> to a tender process </w:t>
      </w:r>
      <w:r w:rsidRPr="00E51B32">
        <w:rPr>
          <w:lang w:val="en-US"/>
        </w:rPr>
        <w:t>for the</w:t>
      </w:r>
      <w:r w:rsidRPr="00FD6E17">
        <w:rPr>
          <w:lang w:val="en-US"/>
        </w:rPr>
        <w:t xml:space="preserve"> allocation of </w:t>
      </w:r>
      <w:r w:rsidRPr="00E51B32">
        <w:rPr>
          <w:lang w:val="en-US"/>
        </w:rPr>
        <w:t>subsidized</w:t>
      </w:r>
      <w:r w:rsidRPr="00FD6E17">
        <w:rPr>
          <w:lang w:val="en-US"/>
        </w:rPr>
        <w:t xml:space="preserve"> </w:t>
      </w:r>
      <w:r>
        <w:rPr>
          <w:lang w:val="en-US"/>
        </w:rPr>
        <w:t>credit lines. Each year, the recipients could be selected based on the lending conditions they would commit themselves to offer. This could have a beneficial effect on the currently very wide intermediation margins and contribute to reduce the borrowing cost incurred by low income households</w:t>
      </w:r>
    </w:p>
    <w:p w14:paraId="7F573CEA" w14:textId="1804AABC" w:rsidR="00E51B32" w:rsidRPr="00E51B32" w:rsidRDefault="00E51B32" w:rsidP="00E52E4F">
      <w:pPr>
        <w:pStyle w:val="ListParagraph"/>
        <w:numPr>
          <w:ilvl w:val="0"/>
          <w:numId w:val="44"/>
        </w:numPr>
        <w:spacing w:after="120" w:line="276" w:lineRule="auto"/>
        <w:ind w:left="0" w:firstLine="567"/>
        <w:rPr>
          <w:lang w:val="en-US"/>
        </w:rPr>
      </w:pPr>
      <w:r>
        <w:rPr>
          <w:lang w:val="en-US"/>
        </w:rPr>
        <w:t xml:space="preserve">Creating an oversight capacity to regularly monitor the compliance of lending with the </w:t>
      </w:r>
      <w:r w:rsidR="00F40A3E">
        <w:rPr>
          <w:lang w:val="en-US"/>
        </w:rPr>
        <w:t>criteria set by the policy makers to benefit from the subsidy programs</w:t>
      </w:r>
    </w:p>
    <w:p w14:paraId="115A6867" w14:textId="77777777" w:rsidR="00212C79" w:rsidRPr="00FD6E17" w:rsidRDefault="00212C79" w:rsidP="00E52E4F">
      <w:pPr>
        <w:spacing w:line="276" w:lineRule="auto"/>
        <w:rPr>
          <w:b/>
          <w:lang w:val="en-US"/>
        </w:rPr>
      </w:pPr>
    </w:p>
    <w:p w14:paraId="17375060" w14:textId="779767AB" w:rsidR="00DC5123" w:rsidRPr="00A57F20" w:rsidRDefault="00DC5123" w:rsidP="00E52E4F">
      <w:pPr>
        <w:spacing w:line="276" w:lineRule="auto"/>
        <w:ind w:left="432"/>
        <w:rPr>
          <w:lang w:val="en-US"/>
        </w:rPr>
      </w:pPr>
      <w:r w:rsidRPr="00A57F20">
        <w:rPr>
          <w:lang w:val="en-US"/>
        </w:rPr>
        <w:t xml:space="preserve">. </w:t>
      </w:r>
    </w:p>
    <w:p w14:paraId="5BB41037" w14:textId="77777777" w:rsidR="00F94752" w:rsidRPr="00FD6E17" w:rsidRDefault="00F94752" w:rsidP="00E52E4F">
      <w:pPr>
        <w:spacing w:line="276" w:lineRule="auto"/>
        <w:ind w:left="432"/>
        <w:rPr>
          <w:lang w:val="en-US"/>
        </w:rPr>
      </w:pPr>
    </w:p>
    <w:p w14:paraId="717AEE82" w14:textId="44AD56FB" w:rsidR="00595E7B" w:rsidRPr="007C4C85" w:rsidRDefault="00A809F9" w:rsidP="00FE444A">
      <w:pPr>
        <w:spacing w:line="276" w:lineRule="auto"/>
        <w:ind w:left="720"/>
        <w:rPr>
          <w:lang w:val="en-US"/>
        </w:rPr>
      </w:pPr>
      <w:r w:rsidRPr="00DE0FEE">
        <w:rPr>
          <w:lang w:val="en-US"/>
        </w:rPr>
        <w:t xml:space="preserve"> </w:t>
      </w:r>
    </w:p>
    <w:p w14:paraId="141CE97D" w14:textId="77777777" w:rsidR="004518F5" w:rsidRPr="00853832" w:rsidRDefault="004518F5" w:rsidP="00E52E4F">
      <w:pPr>
        <w:spacing w:line="276" w:lineRule="auto"/>
        <w:ind w:left="216"/>
        <w:rPr>
          <w:lang w:val="en-US"/>
        </w:rPr>
      </w:pPr>
    </w:p>
    <w:p w14:paraId="2A8BCE98" w14:textId="3C7D2BBB" w:rsidR="005B4DEC" w:rsidRPr="00A83CBE" w:rsidRDefault="005B4DEC" w:rsidP="00E52E4F">
      <w:pPr>
        <w:spacing w:line="276" w:lineRule="auto"/>
        <w:rPr>
          <w:b/>
          <w:lang w:val="en-US"/>
        </w:rPr>
      </w:pPr>
    </w:p>
    <w:p w14:paraId="33E7D6D7" w14:textId="75B4CCFA" w:rsidR="00212C79" w:rsidRPr="00F413CA" w:rsidRDefault="001F3E74" w:rsidP="00E52E4F">
      <w:pPr>
        <w:spacing w:line="276" w:lineRule="auto"/>
        <w:rPr>
          <w:lang w:val="en-US"/>
        </w:rPr>
      </w:pPr>
      <w:r w:rsidRPr="003D3DF2">
        <w:rPr>
          <w:lang w:val="en-US"/>
        </w:rPr>
        <w:t>.</w:t>
      </w:r>
      <w:r w:rsidR="00DE5455" w:rsidRPr="005B411D">
        <w:rPr>
          <w:lang w:val="en-US"/>
        </w:rPr>
        <w:t xml:space="preserve">    </w:t>
      </w:r>
      <w:r w:rsidR="00212C79" w:rsidRPr="00F413CA">
        <w:rPr>
          <w:lang w:val="en-US"/>
        </w:rPr>
        <w:t xml:space="preserve"> </w:t>
      </w:r>
    </w:p>
    <w:p w14:paraId="6029BFE8" w14:textId="77777777" w:rsidR="00F403AD" w:rsidRPr="009975A1" w:rsidRDefault="00F403AD" w:rsidP="00E52E4F">
      <w:pPr>
        <w:spacing w:line="276" w:lineRule="auto"/>
        <w:ind w:left="432"/>
        <w:rPr>
          <w:lang w:val="en-US"/>
        </w:rPr>
      </w:pPr>
    </w:p>
    <w:p w14:paraId="11ED684E" w14:textId="77777777" w:rsidR="00C369D7" w:rsidRPr="002B121E" w:rsidRDefault="00C369D7" w:rsidP="00E52E4F">
      <w:pPr>
        <w:spacing w:line="276" w:lineRule="auto"/>
        <w:rPr>
          <w:lang w:val="en-US"/>
        </w:rPr>
      </w:pPr>
    </w:p>
    <w:p w14:paraId="26B18CC8" w14:textId="2526D74A" w:rsidR="00C369D7" w:rsidRPr="00934AF5" w:rsidRDefault="00453C48" w:rsidP="00FE444A">
      <w:pPr>
        <w:spacing w:line="276" w:lineRule="auto"/>
        <w:ind w:left="504"/>
        <w:rPr>
          <w:lang w:val="en-US"/>
        </w:rPr>
      </w:pPr>
      <w:r w:rsidRPr="00934AF5">
        <w:rPr>
          <w:lang w:val="en-US"/>
        </w:rPr>
        <w:t>.</w:t>
      </w:r>
    </w:p>
    <w:p w14:paraId="69426787" w14:textId="77777777" w:rsidR="00C369D7" w:rsidRPr="00B23C02" w:rsidRDefault="00C369D7" w:rsidP="00E52E4F">
      <w:pPr>
        <w:spacing w:line="276" w:lineRule="auto"/>
        <w:rPr>
          <w:lang w:val="en-US"/>
        </w:rPr>
      </w:pPr>
    </w:p>
    <w:sectPr w:rsidR="00C369D7" w:rsidRPr="00B23C0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EF5A3" w14:textId="77777777" w:rsidR="00D70BEF" w:rsidRDefault="00D70BEF">
      <w:r>
        <w:separator/>
      </w:r>
    </w:p>
  </w:endnote>
  <w:endnote w:type="continuationSeparator" w:id="0">
    <w:p w14:paraId="78024582" w14:textId="77777777" w:rsidR="00D70BEF" w:rsidRDefault="00D7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4C554" w14:textId="77777777" w:rsidR="00D70BEF" w:rsidRDefault="00D70BEF">
      <w:r>
        <w:separator/>
      </w:r>
    </w:p>
  </w:footnote>
  <w:footnote w:type="continuationSeparator" w:id="0">
    <w:p w14:paraId="6CEF84E2" w14:textId="77777777" w:rsidR="00D70BEF" w:rsidRDefault="00D70BEF">
      <w:r>
        <w:continuationSeparator/>
      </w:r>
    </w:p>
  </w:footnote>
  <w:footnote w:id="1">
    <w:p w14:paraId="6A29C94A" w14:textId="77777777" w:rsidR="00CA3C3F" w:rsidRDefault="00CA3C3F">
      <w:pPr>
        <w:pStyle w:val="FootnoteText"/>
      </w:pPr>
      <w:r>
        <w:rPr>
          <w:rStyle w:val="FootnoteReference"/>
        </w:rPr>
        <w:footnoteRef/>
      </w:r>
      <w:r>
        <w:t xml:space="preserve"> Closing costs range from 3.5% to 5% of the property value</w:t>
      </w:r>
    </w:p>
  </w:footnote>
  <w:footnote w:id="2">
    <w:p w14:paraId="30E44FDF" w14:textId="77777777" w:rsidR="00CA3C3F" w:rsidRDefault="00CA3C3F">
      <w:pPr>
        <w:pStyle w:val="FootnoteText"/>
      </w:pPr>
      <w:r>
        <w:rPr>
          <w:rStyle w:val="FootnoteReference"/>
        </w:rPr>
        <w:footnoteRef/>
      </w:r>
      <w:r>
        <w:t xml:space="preserve"> BTN granted a waiver in the case of the smallest housing investment, but our understanding is that tax slips are required in the new assistance program that started at the end of 2010  </w:t>
      </w:r>
    </w:p>
  </w:footnote>
  <w:footnote w:id="3">
    <w:p w14:paraId="41D8FD65" w14:textId="2DDC7484" w:rsidR="00CA3C3F" w:rsidRDefault="00CA3C3F" w:rsidP="00555C86">
      <w:pPr>
        <w:pStyle w:val="FootnoteText"/>
      </w:pPr>
      <w:r>
        <w:rPr>
          <w:rStyle w:val="FootnoteReference"/>
        </w:rPr>
        <w:footnoteRef/>
      </w:r>
      <w:r>
        <w:t xml:space="preserve"> Loans with a first fixed rate period also exist, at a higher rate. According to a recent survey (NORC ,July 2008), a large majority of households would prefer fixed rate loans</w:t>
      </w:r>
    </w:p>
  </w:footnote>
  <w:footnote w:id="4">
    <w:p w14:paraId="462BB4F2" w14:textId="77777777" w:rsidR="00CA3C3F" w:rsidRDefault="00CA3C3F">
      <w:pPr>
        <w:pStyle w:val="FootnoteText"/>
      </w:pPr>
      <w:r>
        <w:rPr>
          <w:rStyle w:val="FootnoteReference"/>
        </w:rPr>
        <w:footnoteRef/>
      </w:r>
      <w:r>
        <w:t xml:space="preserve"> See notes on land issues for more detailed analyses, and illustrative case studies</w:t>
      </w:r>
    </w:p>
  </w:footnote>
  <w:footnote w:id="5">
    <w:p w14:paraId="15C991DE" w14:textId="77777777" w:rsidR="00CA3C3F" w:rsidRDefault="00CA3C3F">
      <w:pPr>
        <w:pStyle w:val="FootnoteText"/>
      </w:pPr>
      <w:r>
        <w:rPr>
          <w:rStyle w:val="FootnoteReference"/>
        </w:rPr>
        <w:footnoteRef/>
      </w:r>
      <w:r>
        <w:t xml:space="preserve"> These institutions have the ability to participate but on a mere voluntary basis</w:t>
      </w:r>
    </w:p>
  </w:footnote>
  <w:footnote w:id="6">
    <w:p w14:paraId="70ED9EFA" w14:textId="77777777" w:rsidR="00CA3C3F" w:rsidRDefault="00CA3C3F">
      <w:pPr>
        <w:pStyle w:val="FootnoteText"/>
      </w:pPr>
      <w:r>
        <w:rPr>
          <w:rStyle w:val="FootnoteReference"/>
        </w:rPr>
        <w:footnoteRef/>
      </w:r>
      <w:r>
        <w:t xml:space="preserve"> BI regulation of independent valuations for secured loans above a certain threshold, BAPEAPM requirement of  code of conduct, MOF requirements</w:t>
      </w:r>
    </w:p>
  </w:footnote>
  <w:footnote w:id="7">
    <w:p w14:paraId="66F8D8E6" w14:textId="77777777" w:rsidR="00CA3C3F" w:rsidRDefault="00CA3C3F" w:rsidP="001B310C">
      <w:pPr>
        <w:pStyle w:val="FootnoteText"/>
      </w:pPr>
      <w:r>
        <w:rPr>
          <w:rStyle w:val="FootnoteReference"/>
        </w:rPr>
        <w:footnoteRef/>
      </w:r>
      <w:r>
        <w:t xml:space="preserve"> BI Financial stability Review Sept 08 </w:t>
      </w:r>
    </w:p>
  </w:footnote>
  <w:footnote w:id="8">
    <w:p w14:paraId="73A5E7F6" w14:textId="77777777" w:rsidR="00CA3C3F" w:rsidRDefault="00CA3C3F">
      <w:pPr>
        <w:pStyle w:val="FootnoteText"/>
      </w:pPr>
      <w:r>
        <w:rPr>
          <w:rStyle w:val="FootnoteReference"/>
        </w:rPr>
        <w:footnoteRef/>
      </w:r>
      <w:r>
        <w:t xml:space="preserve">  BTN issued a few corporate bonds, lastly in 2004-2005 </w:t>
      </w:r>
    </w:p>
  </w:footnote>
  <w:footnote w:id="9">
    <w:p w14:paraId="3EC0C499" w14:textId="77777777" w:rsidR="00CA3C3F" w:rsidRDefault="00CA3C3F">
      <w:pPr>
        <w:pStyle w:val="FootnoteText"/>
      </w:pPr>
      <w:r>
        <w:rPr>
          <w:rStyle w:val="FootnoteReference"/>
        </w:rPr>
        <w:footnoteRef/>
      </w:r>
      <w:r>
        <w:t xml:space="preserve"> See </w:t>
      </w:r>
      <w:proofErr w:type="spellStart"/>
      <w:r>
        <w:t>Marja</w:t>
      </w:r>
      <w:proofErr w:type="spellEnd"/>
      <w:r>
        <w:t xml:space="preserve"> </w:t>
      </w:r>
      <w:proofErr w:type="spellStart"/>
      <w:r>
        <w:t>Hoek-Smit</w:t>
      </w:r>
      <w:proofErr w:type="spellEnd"/>
      <w:r>
        <w:t xml:space="preserve"> 2008 report for a detailed description and evaluation</w:t>
      </w:r>
    </w:p>
  </w:footnote>
  <w:footnote w:id="10">
    <w:p w14:paraId="044301B8" w14:textId="77777777" w:rsidR="00CA3C3F" w:rsidRDefault="00CA3C3F">
      <w:pPr>
        <w:pStyle w:val="FootnoteText"/>
      </w:pPr>
      <w:r>
        <w:rPr>
          <w:rStyle w:val="FootnoteReference"/>
        </w:rPr>
        <w:footnoteRef/>
      </w:r>
      <w:r>
        <w:t xml:space="preserve"> Despite the “1-3-6” rule aimed at socially diversified projects</w:t>
      </w:r>
    </w:p>
  </w:footnote>
  <w:footnote w:id="11">
    <w:p w14:paraId="19A5A50C" w14:textId="77777777" w:rsidR="00CA3C3F" w:rsidRDefault="00CA3C3F">
      <w:pPr>
        <w:pStyle w:val="FootnoteText"/>
      </w:pPr>
      <w:r>
        <w:rPr>
          <w:rStyle w:val="FootnoteReference"/>
        </w:rPr>
        <w:footnoteRef/>
      </w:r>
      <w:r>
        <w:t xml:space="preserve"> From 4.25% to 5.90%</w:t>
      </w:r>
    </w:p>
  </w:footnote>
  <w:footnote w:id="12">
    <w:p w14:paraId="11F59129" w14:textId="5F69950D" w:rsidR="00CA3C3F" w:rsidRDefault="00CA3C3F">
      <w:pPr>
        <w:pStyle w:val="FootnoteText"/>
      </w:pPr>
      <w:r>
        <w:rPr>
          <w:rStyle w:val="FootnoteReference"/>
        </w:rPr>
        <w:footnoteRef/>
      </w:r>
      <w:r>
        <w:t xml:space="preserve"> giving for instance the priority to affordability metrics and prior savings requirements over loan to value considerations</w:t>
      </w:r>
    </w:p>
  </w:footnote>
  <w:footnote w:id="13">
    <w:p w14:paraId="02A7BF9F" w14:textId="77777777" w:rsidR="00CA3C3F" w:rsidRDefault="00CA3C3F" w:rsidP="00024367">
      <w:pPr>
        <w:pStyle w:val="FootnoteText"/>
      </w:pPr>
      <w:r>
        <w:rPr>
          <w:rStyle w:val="FootnoteReference"/>
        </w:rPr>
        <w:footnoteRef/>
      </w:r>
      <w:r>
        <w:t xml:space="preserve"> the various initiatives undertaken in the last few years to integrate micro-finance institutions  in federations toped with  apex entities could offer opportunities to strengthen MFIS’ financial and operational capacities</w:t>
      </w:r>
    </w:p>
  </w:footnote>
  <w:footnote w:id="14">
    <w:p w14:paraId="786EF746" w14:textId="77777777" w:rsidR="00CA3C3F" w:rsidRDefault="00CA3C3F" w:rsidP="00024367">
      <w:pPr>
        <w:pStyle w:val="FootnoteText"/>
      </w:pPr>
      <w:r>
        <w:rPr>
          <w:rStyle w:val="FootnoteReference"/>
        </w:rPr>
        <w:footnoteRef/>
      </w:r>
      <w:r>
        <w:t xml:space="preserve"> For instance: demand aggregation, borrowers pre-qualification, new technology solutions to handle payments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B00E7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F507CC"/>
    <w:multiLevelType w:val="hybridMultilevel"/>
    <w:tmpl w:val="A3EAE720"/>
    <w:lvl w:ilvl="0" w:tplc="691CC8BC">
      <w:start w:val="1"/>
      <w:numFmt w:val="bullet"/>
      <w:lvlText w:val=""/>
      <w:lvlJc w:val="left"/>
      <w:pPr>
        <w:tabs>
          <w:tab w:val="num" w:pos="864"/>
        </w:tabs>
        <w:ind w:left="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0B4812"/>
    <w:multiLevelType w:val="hybridMultilevel"/>
    <w:tmpl w:val="4F32A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05965"/>
    <w:multiLevelType w:val="multilevel"/>
    <w:tmpl w:val="E766E5B8"/>
    <w:lvl w:ilvl="0">
      <w:start w:val="1"/>
      <w:numFmt w:val="decimal"/>
      <w:lvlText w:val="%1)"/>
      <w:lvlJc w:val="left"/>
      <w:pPr>
        <w:tabs>
          <w:tab w:val="num" w:pos="576"/>
        </w:tabs>
        <w:ind w:left="0" w:firstLine="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5006029"/>
    <w:multiLevelType w:val="hybridMultilevel"/>
    <w:tmpl w:val="B00C6488"/>
    <w:lvl w:ilvl="0" w:tplc="E30A95FA">
      <w:start w:val="1"/>
      <w:numFmt w:val="decimal"/>
      <w:lvlText w:val="%1)"/>
      <w:lvlJc w:val="left"/>
      <w:pPr>
        <w:tabs>
          <w:tab w:val="num" w:pos="0"/>
        </w:tabs>
        <w:ind w:left="-432" w:firstLine="432"/>
      </w:pPr>
      <w:rPr>
        <w:rFonts w:hint="default"/>
        <w:b/>
        <w:i w:val="0"/>
      </w:rPr>
    </w:lvl>
    <w:lvl w:ilvl="1" w:tplc="0EFAFDC6">
      <w:start w:val="1"/>
      <w:numFmt w:val="bullet"/>
      <w:lvlText w:val=""/>
      <w:lvlJc w:val="left"/>
      <w:pPr>
        <w:tabs>
          <w:tab w:val="num" w:pos="1008"/>
        </w:tabs>
        <w:ind w:left="144" w:firstLine="504"/>
      </w:pPr>
      <w:rPr>
        <w:rFonts w:ascii="Symbol" w:hAnsi="Symbol" w:hint="default"/>
        <w:b/>
        <w:i w:val="0"/>
      </w:r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6">
    <w:nsid w:val="16F44970"/>
    <w:multiLevelType w:val="multilevel"/>
    <w:tmpl w:val="8D183768"/>
    <w:lvl w:ilvl="0">
      <w:start w:val="1"/>
      <w:numFmt w:val="decimal"/>
      <w:lvlText w:val="%1)"/>
      <w:lvlJc w:val="left"/>
      <w:pPr>
        <w:tabs>
          <w:tab w:val="num" w:pos="576"/>
        </w:tabs>
        <w:ind w:left="0" w:firstLine="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B330E9"/>
    <w:multiLevelType w:val="hybridMultilevel"/>
    <w:tmpl w:val="0A0E39AE"/>
    <w:lvl w:ilvl="0" w:tplc="4F2A6FA0">
      <w:start w:val="1"/>
      <w:numFmt w:val="upperLett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5C635B"/>
    <w:multiLevelType w:val="hybridMultilevel"/>
    <w:tmpl w:val="B8169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8045E7"/>
    <w:multiLevelType w:val="hybridMultilevel"/>
    <w:tmpl w:val="D3BECC40"/>
    <w:lvl w:ilvl="0" w:tplc="9A2635D4">
      <w:start w:val="1"/>
      <w:numFmt w:val="bullet"/>
      <w:lvlText w:val=""/>
      <w:lvlJc w:val="left"/>
      <w:pPr>
        <w:tabs>
          <w:tab w:val="num" w:pos="1359"/>
        </w:tabs>
        <w:ind w:left="495" w:firstLine="720"/>
      </w:pPr>
      <w:rPr>
        <w:rFonts w:ascii="Symbol" w:hAnsi="Symbol"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10">
    <w:nsid w:val="1BB240B6"/>
    <w:multiLevelType w:val="hybridMultilevel"/>
    <w:tmpl w:val="C8BC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9008E7"/>
    <w:multiLevelType w:val="multilevel"/>
    <w:tmpl w:val="0A0E39AE"/>
    <w:lvl w:ilvl="0">
      <w:start w:val="1"/>
      <w:numFmt w:val="upperLetter"/>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DAD2E70"/>
    <w:multiLevelType w:val="hybridMultilevel"/>
    <w:tmpl w:val="8D183768"/>
    <w:lvl w:ilvl="0" w:tplc="A492F97E">
      <w:start w:val="1"/>
      <w:numFmt w:val="decimal"/>
      <w:lvlText w:val="%1)"/>
      <w:lvlJc w:val="left"/>
      <w:pPr>
        <w:tabs>
          <w:tab w:val="num" w:pos="576"/>
        </w:tabs>
        <w:ind w:left="0" w:firstLine="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5204D8"/>
    <w:multiLevelType w:val="hybridMultilevel"/>
    <w:tmpl w:val="EA9C134A"/>
    <w:lvl w:ilvl="0" w:tplc="9A2635D4">
      <w:start w:val="1"/>
      <w:numFmt w:val="bullet"/>
      <w:lvlText w:val=""/>
      <w:lvlJc w:val="left"/>
      <w:pPr>
        <w:tabs>
          <w:tab w:val="num" w:pos="864"/>
        </w:tabs>
        <w:ind w:left="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D133E9"/>
    <w:multiLevelType w:val="hybridMultilevel"/>
    <w:tmpl w:val="433A7292"/>
    <w:lvl w:ilvl="0" w:tplc="0EFAFDC6">
      <w:start w:val="1"/>
      <w:numFmt w:val="bullet"/>
      <w:lvlText w:val=""/>
      <w:lvlJc w:val="left"/>
      <w:pPr>
        <w:tabs>
          <w:tab w:val="num" w:pos="864"/>
        </w:tabs>
        <w:ind w:left="0" w:firstLine="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CE4A69"/>
    <w:multiLevelType w:val="hybridMultilevel"/>
    <w:tmpl w:val="8A322D2E"/>
    <w:lvl w:ilvl="0" w:tplc="1E167AF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E1119A"/>
    <w:multiLevelType w:val="multilevel"/>
    <w:tmpl w:val="FC54ABEE"/>
    <w:lvl w:ilvl="0">
      <w:start w:val="1"/>
      <w:numFmt w:val="bullet"/>
      <w:lvlText w:val=""/>
      <w:lvlJc w:val="left"/>
      <w:pPr>
        <w:tabs>
          <w:tab w:val="num" w:pos="864"/>
        </w:tabs>
        <w:ind w:left="0" w:firstLine="50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C3BC8"/>
    <w:multiLevelType w:val="hybridMultilevel"/>
    <w:tmpl w:val="5E823E28"/>
    <w:lvl w:ilvl="0" w:tplc="0EFAFDC6">
      <w:start w:val="1"/>
      <w:numFmt w:val="bullet"/>
      <w:lvlText w:val=""/>
      <w:lvlJc w:val="left"/>
      <w:pPr>
        <w:tabs>
          <w:tab w:val="num" w:pos="864"/>
        </w:tabs>
        <w:ind w:left="0" w:firstLine="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063D2C"/>
    <w:multiLevelType w:val="hybridMultilevel"/>
    <w:tmpl w:val="1646D716"/>
    <w:lvl w:ilvl="0" w:tplc="9A2635D4">
      <w:start w:val="1"/>
      <w:numFmt w:val="bullet"/>
      <w:lvlText w:val=""/>
      <w:lvlJc w:val="left"/>
      <w:pPr>
        <w:tabs>
          <w:tab w:val="num" w:pos="864"/>
        </w:tabs>
        <w:ind w:left="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CB2146"/>
    <w:multiLevelType w:val="hybridMultilevel"/>
    <w:tmpl w:val="7DDE2152"/>
    <w:lvl w:ilvl="0" w:tplc="F1D4E5F0">
      <w:start w:val="1"/>
      <w:numFmt w:val="decimal"/>
      <w:lvlText w:val="%1)"/>
      <w:lvlJc w:val="left"/>
      <w:pPr>
        <w:tabs>
          <w:tab w:val="num" w:pos="576"/>
        </w:tabs>
        <w:ind w:left="0" w:firstLine="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FB3A30"/>
    <w:multiLevelType w:val="hybridMultilevel"/>
    <w:tmpl w:val="C98A69BC"/>
    <w:lvl w:ilvl="0" w:tplc="90F8E8EC">
      <w:start w:val="1"/>
      <w:numFmt w:val="upperLetter"/>
      <w:lvlText w:val="%1)"/>
      <w:lvlJc w:val="left"/>
      <w:pPr>
        <w:tabs>
          <w:tab w:val="num" w:pos="576"/>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D90917"/>
    <w:multiLevelType w:val="hybridMultilevel"/>
    <w:tmpl w:val="E2381B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D4115C5"/>
    <w:multiLevelType w:val="hybridMultilevel"/>
    <w:tmpl w:val="FC54ABEE"/>
    <w:lvl w:ilvl="0" w:tplc="0EFAFDC6">
      <w:start w:val="1"/>
      <w:numFmt w:val="bullet"/>
      <w:lvlText w:val=""/>
      <w:lvlJc w:val="left"/>
      <w:pPr>
        <w:tabs>
          <w:tab w:val="num" w:pos="864"/>
        </w:tabs>
        <w:ind w:left="0" w:firstLine="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BB6F17"/>
    <w:multiLevelType w:val="hybridMultilevel"/>
    <w:tmpl w:val="4CB6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23512E"/>
    <w:multiLevelType w:val="hybridMultilevel"/>
    <w:tmpl w:val="3800C2BA"/>
    <w:lvl w:ilvl="0" w:tplc="A5F642F8">
      <w:start w:val="1"/>
      <w:numFmt w:val="bullet"/>
      <w:lvlText w:val=""/>
      <w:lvlJc w:val="left"/>
      <w:pPr>
        <w:tabs>
          <w:tab w:val="num" w:pos="792"/>
        </w:tabs>
        <w:ind w:left="0"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8F1ECE"/>
    <w:multiLevelType w:val="hybridMultilevel"/>
    <w:tmpl w:val="D27EE2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3E48C2"/>
    <w:multiLevelType w:val="hybridMultilevel"/>
    <w:tmpl w:val="E766E5B8"/>
    <w:lvl w:ilvl="0" w:tplc="A492F97E">
      <w:start w:val="1"/>
      <w:numFmt w:val="decimal"/>
      <w:lvlText w:val="%1)"/>
      <w:lvlJc w:val="left"/>
      <w:pPr>
        <w:tabs>
          <w:tab w:val="num" w:pos="576"/>
        </w:tabs>
        <w:ind w:left="0" w:firstLine="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BE97F94"/>
    <w:multiLevelType w:val="hybridMultilevel"/>
    <w:tmpl w:val="152C995C"/>
    <w:lvl w:ilvl="0" w:tplc="A492F97E">
      <w:start w:val="1"/>
      <w:numFmt w:val="decimal"/>
      <w:lvlText w:val="%1)"/>
      <w:lvlJc w:val="left"/>
      <w:pPr>
        <w:tabs>
          <w:tab w:val="num" w:pos="576"/>
        </w:tabs>
        <w:ind w:left="0" w:firstLine="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7C747D"/>
    <w:multiLevelType w:val="multilevel"/>
    <w:tmpl w:val="3800C2BA"/>
    <w:lvl w:ilvl="0">
      <w:start w:val="1"/>
      <w:numFmt w:val="bullet"/>
      <w:lvlText w:val=""/>
      <w:lvlJc w:val="left"/>
      <w:pPr>
        <w:tabs>
          <w:tab w:val="num" w:pos="792"/>
        </w:tabs>
        <w:ind w:left="0" w:firstLine="43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F855D08"/>
    <w:multiLevelType w:val="multilevel"/>
    <w:tmpl w:val="A3EAE720"/>
    <w:lvl w:ilvl="0">
      <w:start w:val="1"/>
      <w:numFmt w:val="bullet"/>
      <w:lvlText w:val=""/>
      <w:lvlJc w:val="left"/>
      <w:pPr>
        <w:tabs>
          <w:tab w:val="num" w:pos="864"/>
        </w:tabs>
        <w:ind w:left="0" w:firstLine="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FC63511"/>
    <w:multiLevelType w:val="hybridMultilevel"/>
    <w:tmpl w:val="346C7FB6"/>
    <w:lvl w:ilvl="0" w:tplc="0EFAFDC6">
      <w:start w:val="1"/>
      <w:numFmt w:val="bullet"/>
      <w:lvlText w:val=""/>
      <w:lvlJc w:val="left"/>
      <w:pPr>
        <w:tabs>
          <w:tab w:val="num" w:pos="924"/>
        </w:tabs>
        <w:ind w:left="60" w:firstLine="504"/>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nsid w:val="54BD1CDD"/>
    <w:multiLevelType w:val="hybridMultilevel"/>
    <w:tmpl w:val="1A00CF12"/>
    <w:lvl w:ilvl="0" w:tplc="0EFAFDC6">
      <w:start w:val="1"/>
      <w:numFmt w:val="bullet"/>
      <w:lvlText w:val=""/>
      <w:lvlJc w:val="left"/>
      <w:pPr>
        <w:tabs>
          <w:tab w:val="num" w:pos="864"/>
        </w:tabs>
        <w:ind w:left="0" w:firstLine="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3E2895"/>
    <w:multiLevelType w:val="hybridMultilevel"/>
    <w:tmpl w:val="52AE6FB4"/>
    <w:lvl w:ilvl="0" w:tplc="A45E2D00">
      <w:start w:val="1"/>
      <w:numFmt w:val="decimal"/>
      <w:lvlText w:val="%1)"/>
      <w:lvlJc w:val="left"/>
      <w:pPr>
        <w:tabs>
          <w:tab w:val="num" w:pos="576"/>
        </w:tabs>
        <w:ind w:left="0" w:firstLine="56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C666DCC"/>
    <w:multiLevelType w:val="hybridMultilevel"/>
    <w:tmpl w:val="F5BCB5F2"/>
    <w:lvl w:ilvl="0" w:tplc="0409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4">
    <w:nsid w:val="612E780C"/>
    <w:multiLevelType w:val="hybridMultilevel"/>
    <w:tmpl w:val="21F03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563400"/>
    <w:multiLevelType w:val="hybridMultilevel"/>
    <w:tmpl w:val="B96C0E52"/>
    <w:lvl w:ilvl="0" w:tplc="FCB8B030">
      <w:start w:val="2"/>
      <w:numFmt w:val="upperLetter"/>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B624E45"/>
    <w:multiLevelType w:val="hybridMultilevel"/>
    <w:tmpl w:val="B95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D73306"/>
    <w:multiLevelType w:val="multilevel"/>
    <w:tmpl w:val="8A322D2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0566BA8"/>
    <w:multiLevelType w:val="multilevel"/>
    <w:tmpl w:val="152C995C"/>
    <w:lvl w:ilvl="0">
      <w:start w:val="1"/>
      <w:numFmt w:val="decimal"/>
      <w:lvlText w:val="%1)"/>
      <w:lvlJc w:val="left"/>
      <w:pPr>
        <w:tabs>
          <w:tab w:val="num" w:pos="576"/>
        </w:tabs>
        <w:ind w:left="0" w:firstLine="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0801E67"/>
    <w:multiLevelType w:val="hybridMultilevel"/>
    <w:tmpl w:val="06648EE0"/>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0">
    <w:nsid w:val="730149E9"/>
    <w:multiLevelType w:val="multilevel"/>
    <w:tmpl w:val="C98A69BC"/>
    <w:lvl w:ilvl="0">
      <w:start w:val="1"/>
      <w:numFmt w:val="upperLetter"/>
      <w:lvlText w:val="%1)"/>
      <w:lvlJc w:val="left"/>
      <w:pPr>
        <w:tabs>
          <w:tab w:val="num" w:pos="576"/>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339297B"/>
    <w:multiLevelType w:val="hybridMultilevel"/>
    <w:tmpl w:val="325C44DA"/>
    <w:lvl w:ilvl="0" w:tplc="0EFAFDC6">
      <w:start w:val="1"/>
      <w:numFmt w:val="bullet"/>
      <w:lvlText w:val=""/>
      <w:lvlJc w:val="left"/>
      <w:pPr>
        <w:tabs>
          <w:tab w:val="num" w:pos="864"/>
        </w:tabs>
        <w:ind w:left="0" w:firstLine="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A544CD5"/>
    <w:multiLevelType w:val="hybridMultilevel"/>
    <w:tmpl w:val="7FB4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652074"/>
    <w:multiLevelType w:val="multilevel"/>
    <w:tmpl w:val="7DDE2152"/>
    <w:lvl w:ilvl="0">
      <w:start w:val="1"/>
      <w:numFmt w:val="decimal"/>
      <w:lvlText w:val="%1)"/>
      <w:lvlJc w:val="left"/>
      <w:pPr>
        <w:tabs>
          <w:tab w:val="num" w:pos="576"/>
        </w:tabs>
        <w:ind w:left="0" w:firstLine="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E6D7BAE"/>
    <w:multiLevelType w:val="multilevel"/>
    <w:tmpl w:val="52AE6FB4"/>
    <w:lvl w:ilvl="0">
      <w:start w:val="1"/>
      <w:numFmt w:val="decimal"/>
      <w:lvlText w:val="%1)"/>
      <w:lvlJc w:val="left"/>
      <w:pPr>
        <w:tabs>
          <w:tab w:val="num" w:pos="576"/>
        </w:tabs>
        <w:ind w:left="0" w:firstLine="564"/>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31"/>
  </w:num>
  <w:num w:numId="3">
    <w:abstractNumId w:val="14"/>
  </w:num>
  <w:num w:numId="4">
    <w:abstractNumId w:val="15"/>
  </w:num>
  <w:num w:numId="5">
    <w:abstractNumId w:val="37"/>
  </w:num>
  <w:num w:numId="6">
    <w:abstractNumId w:val="7"/>
  </w:num>
  <w:num w:numId="7">
    <w:abstractNumId w:val="11"/>
  </w:num>
  <w:num w:numId="8">
    <w:abstractNumId w:val="20"/>
  </w:num>
  <w:num w:numId="9">
    <w:abstractNumId w:val="40"/>
  </w:num>
  <w:num w:numId="10">
    <w:abstractNumId w:val="19"/>
  </w:num>
  <w:num w:numId="11">
    <w:abstractNumId w:val="43"/>
  </w:num>
  <w:num w:numId="12">
    <w:abstractNumId w:val="27"/>
  </w:num>
  <w:num w:numId="13">
    <w:abstractNumId w:val="26"/>
  </w:num>
  <w:num w:numId="14">
    <w:abstractNumId w:val="4"/>
  </w:num>
  <w:num w:numId="15">
    <w:abstractNumId w:val="12"/>
  </w:num>
  <w:num w:numId="16">
    <w:abstractNumId w:val="6"/>
  </w:num>
  <w:num w:numId="17">
    <w:abstractNumId w:val="30"/>
  </w:num>
  <w:num w:numId="18">
    <w:abstractNumId w:val="41"/>
  </w:num>
  <w:num w:numId="19">
    <w:abstractNumId w:val="22"/>
  </w:num>
  <w:num w:numId="20">
    <w:abstractNumId w:val="21"/>
  </w:num>
  <w:num w:numId="21">
    <w:abstractNumId w:val="38"/>
  </w:num>
  <w:num w:numId="22">
    <w:abstractNumId w:val="32"/>
  </w:num>
  <w:num w:numId="23">
    <w:abstractNumId w:val="44"/>
  </w:num>
  <w:num w:numId="24">
    <w:abstractNumId w:val="5"/>
  </w:num>
  <w:num w:numId="25">
    <w:abstractNumId w:val="16"/>
  </w:num>
  <w:num w:numId="26">
    <w:abstractNumId w:val="2"/>
  </w:num>
  <w:num w:numId="27">
    <w:abstractNumId w:val="29"/>
  </w:num>
  <w:num w:numId="28">
    <w:abstractNumId w:val="24"/>
  </w:num>
  <w:num w:numId="29">
    <w:abstractNumId w:val="28"/>
  </w:num>
  <w:num w:numId="30">
    <w:abstractNumId w:val="13"/>
  </w:num>
  <w:num w:numId="31">
    <w:abstractNumId w:val="18"/>
  </w:num>
  <w:num w:numId="32">
    <w:abstractNumId w:val="35"/>
  </w:num>
  <w:num w:numId="33">
    <w:abstractNumId w:val="9"/>
  </w:num>
  <w:num w:numId="34">
    <w:abstractNumId w:val="0"/>
  </w:num>
  <w:num w:numId="35">
    <w:abstractNumId w:val="34"/>
  </w:num>
  <w:num w:numId="36">
    <w:abstractNumId w:val="23"/>
  </w:num>
  <w:num w:numId="37">
    <w:abstractNumId w:val="10"/>
  </w:num>
  <w:num w:numId="38">
    <w:abstractNumId w:val="1"/>
  </w:num>
  <w:num w:numId="39">
    <w:abstractNumId w:val="42"/>
  </w:num>
  <w:num w:numId="40">
    <w:abstractNumId w:val="33"/>
  </w:num>
  <w:num w:numId="41">
    <w:abstractNumId w:val="3"/>
  </w:num>
  <w:num w:numId="42">
    <w:abstractNumId w:val="8"/>
  </w:num>
  <w:num w:numId="43">
    <w:abstractNumId w:val="25"/>
  </w:num>
  <w:num w:numId="44">
    <w:abstractNumId w:val="39"/>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647"/>
    <w:rsid w:val="00016F51"/>
    <w:rsid w:val="00024367"/>
    <w:rsid w:val="0004132C"/>
    <w:rsid w:val="000475FD"/>
    <w:rsid w:val="000570C1"/>
    <w:rsid w:val="000721C1"/>
    <w:rsid w:val="00072212"/>
    <w:rsid w:val="00072869"/>
    <w:rsid w:val="00073A21"/>
    <w:rsid w:val="000D61C7"/>
    <w:rsid w:val="000F0558"/>
    <w:rsid w:val="000F0D1A"/>
    <w:rsid w:val="00103896"/>
    <w:rsid w:val="00122AF9"/>
    <w:rsid w:val="0012688D"/>
    <w:rsid w:val="00157C0D"/>
    <w:rsid w:val="001611AB"/>
    <w:rsid w:val="00177CF2"/>
    <w:rsid w:val="001B310C"/>
    <w:rsid w:val="001C252D"/>
    <w:rsid w:val="001D7FA5"/>
    <w:rsid w:val="001E31E5"/>
    <w:rsid w:val="001F3E74"/>
    <w:rsid w:val="002064AE"/>
    <w:rsid w:val="00212C79"/>
    <w:rsid w:val="00213166"/>
    <w:rsid w:val="002154AA"/>
    <w:rsid w:val="00227B58"/>
    <w:rsid w:val="00233F86"/>
    <w:rsid w:val="002465F4"/>
    <w:rsid w:val="00255A7C"/>
    <w:rsid w:val="00272090"/>
    <w:rsid w:val="00280F2F"/>
    <w:rsid w:val="00286436"/>
    <w:rsid w:val="0029780C"/>
    <w:rsid w:val="00297CFF"/>
    <w:rsid w:val="002B121E"/>
    <w:rsid w:val="002B1CFF"/>
    <w:rsid w:val="002C5132"/>
    <w:rsid w:val="002D7E12"/>
    <w:rsid w:val="002E702D"/>
    <w:rsid w:val="003034AE"/>
    <w:rsid w:val="00306277"/>
    <w:rsid w:val="003122A7"/>
    <w:rsid w:val="003174A3"/>
    <w:rsid w:val="00320C4A"/>
    <w:rsid w:val="003274AF"/>
    <w:rsid w:val="00337E62"/>
    <w:rsid w:val="00341EDD"/>
    <w:rsid w:val="00366CD1"/>
    <w:rsid w:val="003767A2"/>
    <w:rsid w:val="0038155E"/>
    <w:rsid w:val="003917B3"/>
    <w:rsid w:val="003D3DF2"/>
    <w:rsid w:val="003D40FA"/>
    <w:rsid w:val="003F1C16"/>
    <w:rsid w:val="004202D9"/>
    <w:rsid w:val="0044012B"/>
    <w:rsid w:val="004518F5"/>
    <w:rsid w:val="00453C48"/>
    <w:rsid w:val="00482340"/>
    <w:rsid w:val="004B19ED"/>
    <w:rsid w:val="004D0356"/>
    <w:rsid w:val="004F297C"/>
    <w:rsid w:val="00501347"/>
    <w:rsid w:val="00511DC1"/>
    <w:rsid w:val="00555C86"/>
    <w:rsid w:val="00563486"/>
    <w:rsid w:val="00585227"/>
    <w:rsid w:val="00587E40"/>
    <w:rsid w:val="00595E7B"/>
    <w:rsid w:val="005B411D"/>
    <w:rsid w:val="005B4DEC"/>
    <w:rsid w:val="005D6B65"/>
    <w:rsid w:val="005E6F80"/>
    <w:rsid w:val="00602256"/>
    <w:rsid w:val="006124CC"/>
    <w:rsid w:val="00634894"/>
    <w:rsid w:val="00670045"/>
    <w:rsid w:val="00690333"/>
    <w:rsid w:val="00690EF4"/>
    <w:rsid w:val="006A3D26"/>
    <w:rsid w:val="006B0E10"/>
    <w:rsid w:val="006B40D9"/>
    <w:rsid w:val="006C4675"/>
    <w:rsid w:val="006C4EB9"/>
    <w:rsid w:val="006D13FE"/>
    <w:rsid w:val="006D37AD"/>
    <w:rsid w:val="006F79D3"/>
    <w:rsid w:val="00706351"/>
    <w:rsid w:val="00707771"/>
    <w:rsid w:val="0071618B"/>
    <w:rsid w:val="00744E8A"/>
    <w:rsid w:val="007475A3"/>
    <w:rsid w:val="00754C0E"/>
    <w:rsid w:val="00760529"/>
    <w:rsid w:val="00766112"/>
    <w:rsid w:val="00775EAA"/>
    <w:rsid w:val="00794748"/>
    <w:rsid w:val="00795ACF"/>
    <w:rsid w:val="007A274C"/>
    <w:rsid w:val="007A4BCE"/>
    <w:rsid w:val="007C4C85"/>
    <w:rsid w:val="007E4659"/>
    <w:rsid w:val="00813220"/>
    <w:rsid w:val="00816CF3"/>
    <w:rsid w:val="0082142D"/>
    <w:rsid w:val="00827200"/>
    <w:rsid w:val="00845228"/>
    <w:rsid w:val="00852CD2"/>
    <w:rsid w:val="00853832"/>
    <w:rsid w:val="008640EA"/>
    <w:rsid w:val="00864AF8"/>
    <w:rsid w:val="008650D4"/>
    <w:rsid w:val="00877E52"/>
    <w:rsid w:val="0089095B"/>
    <w:rsid w:val="008934E7"/>
    <w:rsid w:val="008A1EC1"/>
    <w:rsid w:val="008A3C06"/>
    <w:rsid w:val="008B1E6E"/>
    <w:rsid w:val="008B6475"/>
    <w:rsid w:val="008C0494"/>
    <w:rsid w:val="008E7B04"/>
    <w:rsid w:val="009006F0"/>
    <w:rsid w:val="00901594"/>
    <w:rsid w:val="00934AF5"/>
    <w:rsid w:val="00937350"/>
    <w:rsid w:val="009558CF"/>
    <w:rsid w:val="00955EBA"/>
    <w:rsid w:val="00965563"/>
    <w:rsid w:val="00970340"/>
    <w:rsid w:val="00971B88"/>
    <w:rsid w:val="00971E02"/>
    <w:rsid w:val="009933C8"/>
    <w:rsid w:val="009975A1"/>
    <w:rsid w:val="009A6516"/>
    <w:rsid w:val="009C569D"/>
    <w:rsid w:val="00A059B7"/>
    <w:rsid w:val="00A274A2"/>
    <w:rsid w:val="00A53C94"/>
    <w:rsid w:val="00A57F20"/>
    <w:rsid w:val="00A71F85"/>
    <w:rsid w:val="00A77105"/>
    <w:rsid w:val="00A809F9"/>
    <w:rsid w:val="00A8158C"/>
    <w:rsid w:val="00A83CBE"/>
    <w:rsid w:val="00A954E6"/>
    <w:rsid w:val="00AC35DD"/>
    <w:rsid w:val="00AE2B09"/>
    <w:rsid w:val="00AE7ED4"/>
    <w:rsid w:val="00AF6B7F"/>
    <w:rsid w:val="00B10831"/>
    <w:rsid w:val="00B23C02"/>
    <w:rsid w:val="00B31509"/>
    <w:rsid w:val="00B5752B"/>
    <w:rsid w:val="00B63116"/>
    <w:rsid w:val="00B7214E"/>
    <w:rsid w:val="00BA4D2C"/>
    <w:rsid w:val="00BB3BC8"/>
    <w:rsid w:val="00BB3DDA"/>
    <w:rsid w:val="00BB5CD7"/>
    <w:rsid w:val="00BD347E"/>
    <w:rsid w:val="00BE11CF"/>
    <w:rsid w:val="00BF03A3"/>
    <w:rsid w:val="00BF386A"/>
    <w:rsid w:val="00BF3D0E"/>
    <w:rsid w:val="00BF56B5"/>
    <w:rsid w:val="00BF7BC0"/>
    <w:rsid w:val="00C12248"/>
    <w:rsid w:val="00C26666"/>
    <w:rsid w:val="00C27FCC"/>
    <w:rsid w:val="00C31652"/>
    <w:rsid w:val="00C369D7"/>
    <w:rsid w:val="00C3711E"/>
    <w:rsid w:val="00C40284"/>
    <w:rsid w:val="00C579D4"/>
    <w:rsid w:val="00C62183"/>
    <w:rsid w:val="00C63FF1"/>
    <w:rsid w:val="00C64A21"/>
    <w:rsid w:val="00C66B50"/>
    <w:rsid w:val="00C70780"/>
    <w:rsid w:val="00C86AA4"/>
    <w:rsid w:val="00CA3C3F"/>
    <w:rsid w:val="00CA4698"/>
    <w:rsid w:val="00CB3D84"/>
    <w:rsid w:val="00CC44D1"/>
    <w:rsid w:val="00CD0EB3"/>
    <w:rsid w:val="00CD18CA"/>
    <w:rsid w:val="00CF6C59"/>
    <w:rsid w:val="00D04D75"/>
    <w:rsid w:val="00D10060"/>
    <w:rsid w:val="00D162B0"/>
    <w:rsid w:val="00D208CB"/>
    <w:rsid w:val="00D21021"/>
    <w:rsid w:val="00D41109"/>
    <w:rsid w:val="00D54366"/>
    <w:rsid w:val="00D57D92"/>
    <w:rsid w:val="00D66FAB"/>
    <w:rsid w:val="00D70BEF"/>
    <w:rsid w:val="00D90FDB"/>
    <w:rsid w:val="00D966B9"/>
    <w:rsid w:val="00DA6678"/>
    <w:rsid w:val="00DB2AE0"/>
    <w:rsid w:val="00DB4107"/>
    <w:rsid w:val="00DB6BD5"/>
    <w:rsid w:val="00DC5123"/>
    <w:rsid w:val="00DE0FEE"/>
    <w:rsid w:val="00DE4E5C"/>
    <w:rsid w:val="00DE5455"/>
    <w:rsid w:val="00E07E5D"/>
    <w:rsid w:val="00E120BC"/>
    <w:rsid w:val="00E21A65"/>
    <w:rsid w:val="00E21E50"/>
    <w:rsid w:val="00E304B3"/>
    <w:rsid w:val="00E42735"/>
    <w:rsid w:val="00E51B32"/>
    <w:rsid w:val="00E52E4F"/>
    <w:rsid w:val="00E70DC6"/>
    <w:rsid w:val="00E7198B"/>
    <w:rsid w:val="00E77CD8"/>
    <w:rsid w:val="00E905C6"/>
    <w:rsid w:val="00EB2735"/>
    <w:rsid w:val="00EC3BF6"/>
    <w:rsid w:val="00EE40BF"/>
    <w:rsid w:val="00EF20A9"/>
    <w:rsid w:val="00EF3CFF"/>
    <w:rsid w:val="00F0557E"/>
    <w:rsid w:val="00F26DB9"/>
    <w:rsid w:val="00F3346E"/>
    <w:rsid w:val="00F403AD"/>
    <w:rsid w:val="00F40A3E"/>
    <w:rsid w:val="00F40CF5"/>
    <w:rsid w:val="00F413CA"/>
    <w:rsid w:val="00F440D6"/>
    <w:rsid w:val="00F513C0"/>
    <w:rsid w:val="00F53D13"/>
    <w:rsid w:val="00F649B5"/>
    <w:rsid w:val="00F80647"/>
    <w:rsid w:val="00F82E1B"/>
    <w:rsid w:val="00F94752"/>
    <w:rsid w:val="00F96490"/>
    <w:rsid w:val="00FB2A70"/>
    <w:rsid w:val="00FB369C"/>
    <w:rsid w:val="00FB3845"/>
    <w:rsid w:val="00FB66D1"/>
    <w:rsid w:val="00FC00C0"/>
    <w:rsid w:val="00FC1110"/>
    <w:rsid w:val="00FD6E17"/>
    <w:rsid w:val="00FE444A"/>
    <w:rsid w:val="00FE5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5DB2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440D6"/>
    <w:rPr>
      <w:sz w:val="20"/>
      <w:szCs w:val="20"/>
      <w:lang w:val="en-US"/>
    </w:rPr>
  </w:style>
  <w:style w:type="character" w:styleId="FootnoteReference">
    <w:name w:val="footnote reference"/>
    <w:basedOn w:val="DefaultParagraphFont"/>
    <w:semiHidden/>
    <w:rsid w:val="00F440D6"/>
    <w:rPr>
      <w:vertAlign w:val="superscript"/>
    </w:rPr>
  </w:style>
  <w:style w:type="paragraph" w:styleId="BalloonText">
    <w:name w:val="Balloon Text"/>
    <w:basedOn w:val="Normal"/>
    <w:semiHidden/>
    <w:rsid w:val="00EF3CFF"/>
    <w:rPr>
      <w:rFonts w:ascii="Tahoma" w:hAnsi="Tahoma" w:cs="Tahoma"/>
      <w:sz w:val="16"/>
      <w:szCs w:val="16"/>
    </w:rPr>
  </w:style>
  <w:style w:type="character" w:styleId="CommentReference">
    <w:name w:val="annotation reference"/>
    <w:basedOn w:val="DefaultParagraphFont"/>
    <w:rsid w:val="00366CD1"/>
    <w:rPr>
      <w:sz w:val="16"/>
      <w:szCs w:val="16"/>
    </w:rPr>
  </w:style>
  <w:style w:type="paragraph" w:styleId="CommentText">
    <w:name w:val="annotation text"/>
    <w:basedOn w:val="Normal"/>
    <w:link w:val="CommentTextChar"/>
    <w:rsid w:val="00366CD1"/>
    <w:rPr>
      <w:sz w:val="20"/>
      <w:szCs w:val="20"/>
    </w:rPr>
  </w:style>
  <w:style w:type="character" w:customStyle="1" w:styleId="CommentTextChar">
    <w:name w:val="Comment Text Char"/>
    <w:basedOn w:val="DefaultParagraphFont"/>
    <w:link w:val="CommentText"/>
    <w:rsid w:val="00366CD1"/>
    <w:rPr>
      <w:lang w:val="es-CO"/>
    </w:rPr>
  </w:style>
  <w:style w:type="paragraph" w:styleId="CommentSubject">
    <w:name w:val="annotation subject"/>
    <w:basedOn w:val="CommentText"/>
    <w:next w:val="CommentText"/>
    <w:link w:val="CommentSubjectChar"/>
    <w:rsid w:val="00366CD1"/>
    <w:rPr>
      <w:b/>
      <w:bCs/>
    </w:rPr>
  </w:style>
  <w:style w:type="character" w:customStyle="1" w:styleId="CommentSubjectChar">
    <w:name w:val="Comment Subject Char"/>
    <w:basedOn w:val="CommentTextChar"/>
    <w:link w:val="CommentSubject"/>
    <w:rsid w:val="00366CD1"/>
    <w:rPr>
      <w:b/>
      <w:bCs/>
      <w:lang w:val="es-CO"/>
    </w:rPr>
  </w:style>
  <w:style w:type="paragraph" w:styleId="ListParagraph">
    <w:name w:val="List Paragraph"/>
    <w:basedOn w:val="Normal"/>
    <w:uiPriority w:val="34"/>
    <w:qFormat/>
    <w:rsid w:val="00BE11C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440D6"/>
    <w:rPr>
      <w:sz w:val="20"/>
      <w:szCs w:val="20"/>
      <w:lang w:val="en-US"/>
    </w:rPr>
  </w:style>
  <w:style w:type="character" w:styleId="FootnoteReference">
    <w:name w:val="footnote reference"/>
    <w:basedOn w:val="DefaultParagraphFont"/>
    <w:semiHidden/>
    <w:rsid w:val="00F440D6"/>
    <w:rPr>
      <w:vertAlign w:val="superscript"/>
    </w:rPr>
  </w:style>
  <w:style w:type="paragraph" w:styleId="BalloonText">
    <w:name w:val="Balloon Text"/>
    <w:basedOn w:val="Normal"/>
    <w:semiHidden/>
    <w:rsid w:val="00EF3CFF"/>
    <w:rPr>
      <w:rFonts w:ascii="Tahoma" w:hAnsi="Tahoma" w:cs="Tahoma"/>
      <w:sz w:val="16"/>
      <w:szCs w:val="16"/>
    </w:rPr>
  </w:style>
  <w:style w:type="character" w:styleId="CommentReference">
    <w:name w:val="annotation reference"/>
    <w:basedOn w:val="DefaultParagraphFont"/>
    <w:rsid w:val="00366CD1"/>
    <w:rPr>
      <w:sz w:val="16"/>
      <w:szCs w:val="16"/>
    </w:rPr>
  </w:style>
  <w:style w:type="paragraph" w:styleId="CommentText">
    <w:name w:val="annotation text"/>
    <w:basedOn w:val="Normal"/>
    <w:link w:val="CommentTextChar"/>
    <w:rsid w:val="00366CD1"/>
    <w:rPr>
      <w:sz w:val="20"/>
      <w:szCs w:val="20"/>
    </w:rPr>
  </w:style>
  <w:style w:type="character" w:customStyle="1" w:styleId="CommentTextChar">
    <w:name w:val="Comment Text Char"/>
    <w:basedOn w:val="DefaultParagraphFont"/>
    <w:link w:val="CommentText"/>
    <w:rsid w:val="00366CD1"/>
    <w:rPr>
      <w:lang w:val="es-CO"/>
    </w:rPr>
  </w:style>
  <w:style w:type="paragraph" w:styleId="CommentSubject">
    <w:name w:val="annotation subject"/>
    <w:basedOn w:val="CommentText"/>
    <w:next w:val="CommentText"/>
    <w:link w:val="CommentSubjectChar"/>
    <w:rsid w:val="00366CD1"/>
    <w:rPr>
      <w:b/>
      <w:bCs/>
    </w:rPr>
  </w:style>
  <w:style w:type="character" w:customStyle="1" w:styleId="CommentSubjectChar">
    <w:name w:val="Comment Subject Char"/>
    <w:basedOn w:val="CommentTextChar"/>
    <w:link w:val="CommentSubject"/>
    <w:rsid w:val="00366CD1"/>
    <w:rPr>
      <w:b/>
      <w:bCs/>
      <w:lang w:val="es-CO"/>
    </w:rPr>
  </w:style>
  <w:style w:type="paragraph" w:styleId="ListParagraph">
    <w:name w:val="List Paragraph"/>
    <w:basedOn w:val="Normal"/>
    <w:uiPriority w:val="34"/>
    <w:qFormat/>
    <w:rsid w:val="00BE11C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930BB-2276-4712-9A00-C5C0A827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3354</Words>
  <Characters>19123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Indonesia Housing mission Aide Memoire Housing finance section V1</vt:lpstr>
    </vt:vector>
  </TitlesOfParts>
  <Company>The World Bank Group</Company>
  <LinksUpToDate>false</LinksUpToDate>
  <CharactersWithSpaces>22433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Indonesia Housing mission Aide Memoire Housing finance section V1</dc:title>
  <dc:creator>wb218516</dc:creator>
  <cp:lastModifiedBy>Zaigham</cp:lastModifiedBy>
  <cp:revision>2</cp:revision>
  <cp:lastPrinted>2008-12-26T12:24:00Z</cp:lastPrinted>
  <dcterms:created xsi:type="dcterms:W3CDTF">2012-07-27T23:45:00Z</dcterms:created>
  <dcterms:modified xsi:type="dcterms:W3CDTF">2012-07-27T23:45:00Z</dcterms:modified>
</cp:coreProperties>
</file>