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A3" w:rsidRPr="006956E5" w:rsidRDefault="00780AA3" w:rsidP="006956E5">
      <w:pPr>
        <w:shd w:val="clear" w:color="auto" w:fill="D9DCCF"/>
        <w:spacing w:before="100" w:beforeAutospacing="1" w:after="100" w:afterAutospacing="1" w:line="369" w:lineRule="atLeast"/>
        <w:rPr>
          <w:rFonts w:ascii="Arial" w:eastAsia="Times New Roman" w:hAnsi="Arial" w:cs="Arial"/>
          <w:color w:val="333333"/>
          <w:sz w:val="36"/>
          <w:szCs w:val="36"/>
        </w:rPr>
      </w:pPr>
      <w:r w:rsidRPr="006956E5">
        <w:rPr>
          <w:rFonts w:ascii="Arial" w:eastAsia="Times New Roman" w:hAnsi="Arial" w:cs="Arial"/>
          <w:color w:val="333333"/>
          <w:sz w:val="36"/>
          <w:szCs w:val="36"/>
        </w:rPr>
        <w:t xml:space="preserve">The objective of the Financing Public Private Partnerships (PPP) in Infrastructure through Support to India Infrastructure Finance Company Limited (IIFCL) Project is to increase the availability of long-term financing for infrastructure PPP projects. There are two components the project, the first component being long-term finance to infrastructure projects. This component will provide long-term funds to the IIFCL for on-lending to PPP-based infrastructure projects. The Bank team has carried out a pipeline review to identify projects eligible for financing through the International Bank for Reconstruction and Development (IBRD) loan. Based on the review, which was updated to factor in the impact of the recent global financial crisis on Indian infrastructure, the team believes that there will be a sufficient number of good sub-projects for the IIFCL to support through the proposed IBRD loan. The pipeline of sub-projects being considered includes selected power, roads, and ports projects. Finally, the second component is the capacity building. This component will include support for the two broad areas: a) strengthening IIFCL 's organizational needs in the following areas: </w:t>
      </w:r>
      <w:proofErr w:type="spellStart"/>
      <w:r w:rsidRPr="006956E5">
        <w:rPr>
          <w:rFonts w:ascii="Arial" w:eastAsia="Times New Roman" w:hAnsi="Arial" w:cs="Arial"/>
          <w:color w:val="333333"/>
          <w:sz w:val="36"/>
          <w:szCs w:val="36"/>
        </w:rPr>
        <w:t>i</w:t>
      </w:r>
      <w:proofErr w:type="spellEnd"/>
      <w:r w:rsidRPr="006956E5">
        <w:rPr>
          <w:rFonts w:ascii="Arial" w:eastAsia="Times New Roman" w:hAnsi="Arial" w:cs="Arial"/>
          <w:color w:val="333333"/>
          <w:sz w:val="36"/>
          <w:szCs w:val="36"/>
        </w:rPr>
        <w:t xml:space="preserve">) strengthening and mainstreaming IIFCL environmental and social safeguards framework (ESSF) into its credit review process and post-sanction monitoring of sub-projects, ii) human resource strategy development and implementation, and iii) risk management and research support for IIFCL treasury; and b) implementing and monitoring the project: this will include support to the IIFCL for the day-to-day implementation of the project, covering all aspects of the operations manual (OM), </w:t>
      </w:r>
      <w:r w:rsidRPr="006956E5">
        <w:rPr>
          <w:rFonts w:ascii="Arial" w:eastAsia="Times New Roman" w:hAnsi="Arial" w:cs="Arial"/>
          <w:color w:val="333333"/>
          <w:sz w:val="36"/>
          <w:szCs w:val="36"/>
        </w:rPr>
        <w:lastRenderedPageBreak/>
        <w:t>including Financial Management (FM) monitoring and reporting; procurement; safeguards review; monitoring and implementation; overall results monitoring; and efforts to ensure governance accountability and transparency.</w:t>
      </w:r>
      <w:r w:rsidRPr="006956E5">
        <w:rPr>
          <w:rFonts w:ascii="Arial" w:eastAsia="Times New Roman" w:hAnsi="Arial" w:cs="Arial"/>
          <w:color w:val="850000"/>
          <w:sz w:val="36"/>
          <w:szCs w:val="36"/>
          <w:u w:val="single"/>
        </w:rPr>
        <w:t xml:space="preserve"> </w:t>
      </w:r>
    </w:p>
    <w:p w:rsidR="00780AA3" w:rsidRPr="006956E5" w:rsidRDefault="00780AA3" w:rsidP="00780AA3">
      <w:pPr>
        <w:shd w:val="clear" w:color="auto" w:fill="D9DCCF"/>
        <w:spacing w:before="100" w:beforeAutospacing="1" w:after="100" w:afterAutospacing="1" w:line="676" w:lineRule="atLeast"/>
        <w:outlineLvl w:val="2"/>
        <w:rPr>
          <w:rFonts w:ascii="Arial" w:eastAsia="Times New Roman" w:hAnsi="Arial" w:cs="Arial"/>
          <w:b/>
          <w:bCs/>
          <w:sz w:val="36"/>
          <w:szCs w:val="36"/>
        </w:rPr>
      </w:pPr>
      <w:r w:rsidRPr="006956E5">
        <w:rPr>
          <w:rFonts w:ascii="Arial" w:eastAsia="Times New Roman" w:hAnsi="Arial" w:cs="Arial"/>
          <w:b/>
          <w:bCs/>
          <w:sz w:val="36"/>
          <w:szCs w:val="36"/>
        </w:rPr>
        <w:t>PROJECT AT-A-GLANCE</w:t>
      </w:r>
    </w:p>
    <w:tbl>
      <w:tblPr>
        <w:tblW w:w="9450" w:type="dxa"/>
        <w:tblCellSpacing w:w="0" w:type="dxa"/>
        <w:tblCellMar>
          <w:left w:w="0" w:type="dxa"/>
          <w:right w:w="0" w:type="dxa"/>
        </w:tblCellMar>
        <w:tblLook w:val="04A0"/>
      </w:tblPr>
      <w:tblGrid>
        <w:gridCol w:w="5670"/>
        <w:gridCol w:w="3780"/>
      </w:tblGrid>
      <w:tr w:rsidR="00780AA3" w:rsidRPr="006956E5" w:rsidTr="006956E5">
        <w:trPr>
          <w:tblHeade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Project ID</w:t>
            </w:r>
          </w:p>
        </w:tc>
        <w:tc>
          <w:tcPr>
            <w:tcW w:w="3780" w:type="dxa"/>
            <w:tcBorders>
              <w:bottom w:val="single" w:sz="6" w:space="0" w:color="D9DCCF"/>
            </w:tcBorders>
            <w:tcMar>
              <w:top w:w="105" w:type="dxa"/>
              <w:left w:w="0" w:type="dxa"/>
              <w:bottom w:w="75" w:type="dxa"/>
              <w:right w:w="75" w:type="dxa"/>
            </w:tcMar>
            <w:hideMark/>
          </w:tcPr>
          <w:p w:rsidR="00780AA3" w:rsidRPr="006956E5" w:rsidRDefault="00780AA3" w:rsidP="006956E5">
            <w:pPr>
              <w:spacing w:after="0" w:line="319" w:lineRule="atLeast"/>
              <w:jc w:val="center"/>
              <w:rPr>
                <w:rFonts w:ascii="Arial" w:eastAsia="Times New Roman" w:hAnsi="Arial" w:cs="Arial"/>
                <w:color w:val="333333"/>
                <w:sz w:val="36"/>
                <w:szCs w:val="36"/>
              </w:rPr>
            </w:pPr>
            <w:r w:rsidRPr="006956E5">
              <w:rPr>
                <w:rFonts w:ascii="Arial" w:eastAsia="Times New Roman" w:hAnsi="Arial" w:cs="Arial"/>
                <w:color w:val="333333"/>
                <w:sz w:val="36"/>
                <w:szCs w:val="36"/>
              </w:rPr>
              <w:t>P102771</w:t>
            </w:r>
          </w:p>
        </w:tc>
      </w:tr>
      <w:tr w:rsidR="00780AA3" w:rsidRPr="006956E5" w:rsidTr="006956E5">
        <w:trP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Country</w:t>
            </w:r>
          </w:p>
        </w:tc>
        <w:tc>
          <w:tcPr>
            <w:tcW w:w="3780" w:type="dxa"/>
            <w:tcBorders>
              <w:bottom w:val="single" w:sz="6" w:space="0" w:color="D9DCCF"/>
            </w:tcBorders>
            <w:tcMar>
              <w:top w:w="105" w:type="dxa"/>
              <w:left w:w="0" w:type="dxa"/>
              <w:bottom w:w="75" w:type="dxa"/>
              <w:right w:w="75" w:type="dxa"/>
            </w:tcMar>
            <w:hideMark/>
          </w:tcPr>
          <w:p w:rsidR="00780AA3" w:rsidRPr="006956E5" w:rsidRDefault="00C0073A" w:rsidP="006956E5">
            <w:pPr>
              <w:spacing w:after="0" w:line="319" w:lineRule="atLeast"/>
              <w:jc w:val="center"/>
              <w:rPr>
                <w:rFonts w:ascii="Arial" w:eastAsia="Times New Roman" w:hAnsi="Arial" w:cs="Arial"/>
                <w:color w:val="333333"/>
                <w:sz w:val="36"/>
                <w:szCs w:val="36"/>
              </w:rPr>
            </w:pPr>
            <w:hyperlink r:id="rId6" w:tgtFrame="_self" w:history="1">
              <w:r w:rsidR="00780AA3" w:rsidRPr="006956E5">
                <w:rPr>
                  <w:rFonts w:ascii="Arial" w:eastAsia="Times New Roman" w:hAnsi="Arial" w:cs="Arial"/>
                  <w:color w:val="850000"/>
                  <w:sz w:val="36"/>
                  <w:szCs w:val="36"/>
                </w:rPr>
                <w:t xml:space="preserve">India </w:t>
              </w:r>
            </w:hyperlink>
          </w:p>
        </w:tc>
      </w:tr>
      <w:tr w:rsidR="00780AA3" w:rsidRPr="006956E5" w:rsidTr="006956E5">
        <w:trP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Region</w:t>
            </w:r>
          </w:p>
        </w:tc>
        <w:tc>
          <w:tcPr>
            <w:tcW w:w="3780" w:type="dxa"/>
            <w:tcBorders>
              <w:bottom w:val="single" w:sz="6" w:space="0" w:color="D9DCCF"/>
            </w:tcBorders>
            <w:tcMar>
              <w:top w:w="105" w:type="dxa"/>
              <w:left w:w="0" w:type="dxa"/>
              <w:bottom w:w="75" w:type="dxa"/>
              <w:right w:w="75" w:type="dxa"/>
            </w:tcMar>
            <w:hideMark/>
          </w:tcPr>
          <w:p w:rsidR="00780AA3" w:rsidRPr="006956E5" w:rsidRDefault="00C0073A" w:rsidP="006956E5">
            <w:pPr>
              <w:spacing w:after="0" w:line="319" w:lineRule="atLeast"/>
              <w:jc w:val="center"/>
              <w:rPr>
                <w:rFonts w:ascii="Arial" w:eastAsia="Times New Roman" w:hAnsi="Arial" w:cs="Arial"/>
                <w:color w:val="333333"/>
                <w:sz w:val="36"/>
                <w:szCs w:val="36"/>
              </w:rPr>
            </w:pPr>
            <w:hyperlink r:id="rId7" w:tgtFrame="_self" w:history="1">
              <w:r w:rsidR="00780AA3" w:rsidRPr="006956E5">
                <w:rPr>
                  <w:rFonts w:ascii="Arial" w:eastAsia="Times New Roman" w:hAnsi="Arial" w:cs="Arial"/>
                  <w:color w:val="850000"/>
                  <w:sz w:val="36"/>
                  <w:szCs w:val="36"/>
                </w:rPr>
                <w:t xml:space="preserve">South Asia </w:t>
              </w:r>
            </w:hyperlink>
          </w:p>
        </w:tc>
      </w:tr>
      <w:tr w:rsidR="00780AA3" w:rsidRPr="006956E5" w:rsidTr="006956E5">
        <w:trP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Status</w:t>
            </w:r>
          </w:p>
        </w:tc>
        <w:tc>
          <w:tcPr>
            <w:tcW w:w="3780" w:type="dxa"/>
            <w:tcBorders>
              <w:bottom w:val="single" w:sz="6" w:space="0" w:color="D9DCCF"/>
            </w:tcBorders>
            <w:tcMar>
              <w:top w:w="105" w:type="dxa"/>
              <w:left w:w="0" w:type="dxa"/>
              <w:bottom w:w="75" w:type="dxa"/>
              <w:right w:w="75" w:type="dxa"/>
            </w:tcMar>
            <w:hideMark/>
          </w:tcPr>
          <w:p w:rsidR="00780AA3" w:rsidRPr="006956E5" w:rsidRDefault="00780AA3" w:rsidP="006956E5">
            <w:pPr>
              <w:spacing w:after="0" w:line="319" w:lineRule="atLeast"/>
              <w:jc w:val="center"/>
              <w:rPr>
                <w:rFonts w:ascii="Arial" w:eastAsia="Times New Roman" w:hAnsi="Arial" w:cs="Arial"/>
                <w:color w:val="333333"/>
                <w:sz w:val="36"/>
                <w:szCs w:val="36"/>
              </w:rPr>
            </w:pPr>
            <w:r w:rsidRPr="006956E5">
              <w:rPr>
                <w:rFonts w:ascii="Arial" w:eastAsia="Times New Roman" w:hAnsi="Arial" w:cs="Arial"/>
                <w:color w:val="333333"/>
                <w:sz w:val="36"/>
                <w:szCs w:val="36"/>
              </w:rPr>
              <w:t>Active</w:t>
            </w:r>
          </w:p>
        </w:tc>
      </w:tr>
      <w:tr w:rsidR="00780AA3" w:rsidRPr="006956E5" w:rsidTr="006956E5">
        <w:trP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Approval Date (as of board presentation)</w:t>
            </w:r>
          </w:p>
        </w:tc>
        <w:tc>
          <w:tcPr>
            <w:tcW w:w="3780" w:type="dxa"/>
            <w:tcBorders>
              <w:bottom w:val="single" w:sz="6" w:space="0" w:color="D9DCCF"/>
            </w:tcBorders>
            <w:tcMar>
              <w:top w:w="105" w:type="dxa"/>
              <w:left w:w="0" w:type="dxa"/>
              <w:bottom w:w="75" w:type="dxa"/>
              <w:right w:w="75" w:type="dxa"/>
            </w:tcMar>
            <w:hideMark/>
          </w:tcPr>
          <w:p w:rsidR="00780AA3" w:rsidRPr="006956E5" w:rsidRDefault="00780AA3" w:rsidP="006956E5">
            <w:pPr>
              <w:spacing w:after="0" w:line="319" w:lineRule="atLeast"/>
              <w:jc w:val="center"/>
              <w:rPr>
                <w:rFonts w:ascii="Arial" w:eastAsia="Times New Roman" w:hAnsi="Arial" w:cs="Arial"/>
                <w:color w:val="333333"/>
                <w:sz w:val="36"/>
                <w:szCs w:val="36"/>
              </w:rPr>
            </w:pPr>
            <w:r w:rsidRPr="006956E5">
              <w:rPr>
                <w:rFonts w:ascii="Arial" w:eastAsia="Times New Roman" w:hAnsi="Arial" w:cs="Arial"/>
                <w:color w:val="333333"/>
                <w:sz w:val="36"/>
                <w:szCs w:val="36"/>
              </w:rPr>
              <w:t>September 22, 2009</w:t>
            </w:r>
          </w:p>
        </w:tc>
      </w:tr>
      <w:tr w:rsidR="00780AA3" w:rsidRPr="006956E5" w:rsidTr="006956E5">
        <w:trP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Closing Date</w:t>
            </w:r>
          </w:p>
        </w:tc>
        <w:tc>
          <w:tcPr>
            <w:tcW w:w="3780" w:type="dxa"/>
            <w:tcBorders>
              <w:bottom w:val="single" w:sz="6" w:space="0" w:color="D9DCCF"/>
            </w:tcBorders>
            <w:tcMar>
              <w:top w:w="105" w:type="dxa"/>
              <w:left w:w="0" w:type="dxa"/>
              <w:bottom w:w="75" w:type="dxa"/>
              <w:right w:w="75" w:type="dxa"/>
            </w:tcMar>
            <w:hideMark/>
          </w:tcPr>
          <w:p w:rsidR="00780AA3" w:rsidRPr="006956E5" w:rsidRDefault="00780AA3" w:rsidP="006956E5">
            <w:pPr>
              <w:spacing w:after="0" w:line="319" w:lineRule="atLeast"/>
              <w:jc w:val="center"/>
              <w:rPr>
                <w:rFonts w:ascii="Arial" w:eastAsia="Times New Roman" w:hAnsi="Arial" w:cs="Arial"/>
                <w:color w:val="333333"/>
                <w:sz w:val="36"/>
                <w:szCs w:val="36"/>
              </w:rPr>
            </w:pPr>
            <w:r w:rsidRPr="006956E5">
              <w:rPr>
                <w:rFonts w:ascii="Arial" w:eastAsia="Times New Roman" w:hAnsi="Arial" w:cs="Arial"/>
                <w:color w:val="333333"/>
                <w:sz w:val="36"/>
                <w:szCs w:val="36"/>
              </w:rPr>
              <w:t>September 30, 2015</w:t>
            </w:r>
          </w:p>
        </w:tc>
      </w:tr>
      <w:tr w:rsidR="00780AA3" w:rsidRPr="006956E5" w:rsidTr="006956E5">
        <w:trP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Total Project Cost**</w:t>
            </w:r>
          </w:p>
        </w:tc>
        <w:tc>
          <w:tcPr>
            <w:tcW w:w="3780" w:type="dxa"/>
            <w:tcBorders>
              <w:bottom w:val="single" w:sz="6" w:space="0" w:color="D9DCCF"/>
            </w:tcBorders>
            <w:tcMar>
              <w:top w:w="105" w:type="dxa"/>
              <w:left w:w="0" w:type="dxa"/>
              <w:bottom w:w="75" w:type="dxa"/>
              <w:right w:w="75" w:type="dxa"/>
            </w:tcMar>
            <w:hideMark/>
          </w:tcPr>
          <w:p w:rsidR="00780AA3" w:rsidRPr="006956E5" w:rsidRDefault="00780AA3" w:rsidP="006956E5">
            <w:pPr>
              <w:spacing w:after="0" w:line="319" w:lineRule="atLeast"/>
              <w:jc w:val="center"/>
              <w:rPr>
                <w:rFonts w:ascii="Arial" w:eastAsia="Times New Roman" w:hAnsi="Arial" w:cs="Arial"/>
                <w:color w:val="333333"/>
                <w:sz w:val="36"/>
                <w:szCs w:val="36"/>
              </w:rPr>
            </w:pPr>
            <w:r w:rsidRPr="006956E5">
              <w:rPr>
                <w:rFonts w:ascii="Arial" w:eastAsia="Times New Roman" w:hAnsi="Arial" w:cs="Arial"/>
                <w:color w:val="333333"/>
                <w:sz w:val="36"/>
                <w:szCs w:val="36"/>
              </w:rPr>
              <w:t>US$ 1195.00  million</w:t>
            </w:r>
          </w:p>
        </w:tc>
      </w:tr>
      <w:tr w:rsidR="00780AA3" w:rsidRPr="006956E5" w:rsidTr="006956E5">
        <w:trP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Commitment Amount</w:t>
            </w:r>
          </w:p>
        </w:tc>
        <w:tc>
          <w:tcPr>
            <w:tcW w:w="3780" w:type="dxa"/>
            <w:tcBorders>
              <w:bottom w:val="single" w:sz="6" w:space="0" w:color="D9DCCF"/>
            </w:tcBorders>
            <w:tcMar>
              <w:top w:w="105" w:type="dxa"/>
              <w:left w:w="0" w:type="dxa"/>
              <w:bottom w:w="75" w:type="dxa"/>
              <w:right w:w="75" w:type="dxa"/>
            </w:tcMar>
            <w:hideMark/>
          </w:tcPr>
          <w:p w:rsidR="00780AA3" w:rsidRPr="006956E5" w:rsidRDefault="00780AA3" w:rsidP="006956E5">
            <w:pPr>
              <w:spacing w:after="0" w:line="319" w:lineRule="atLeast"/>
              <w:jc w:val="center"/>
              <w:rPr>
                <w:rFonts w:ascii="Arial" w:eastAsia="Times New Roman" w:hAnsi="Arial" w:cs="Arial"/>
                <w:color w:val="333333"/>
                <w:sz w:val="36"/>
                <w:szCs w:val="36"/>
              </w:rPr>
            </w:pPr>
            <w:r w:rsidRPr="006956E5">
              <w:rPr>
                <w:rFonts w:ascii="Arial" w:eastAsia="Times New Roman" w:hAnsi="Arial" w:cs="Arial"/>
                <w:color w:val="333333"/>
                <w:sz w:val="36"/>
                <w:szCs w:val="36"/>
              </w:rPr>
              <w:t>US$ 1195.00  million</w:t>
            </w:r>
          </w:p>
        </w:tc>
      </w:tr>
      <w:tr w:rsidR="00780AA3" w:rsidRPr="006956E5" w:rsidTr="006956E5">
        <w:trPr>
          <w:tblCellSpacing w:w="0" w:type="dxa"/>
        </w:trPr>
        <w:tc>
          <w:tcPr>
            <w:tcW w:w="5670" w:type="dxa"/>
            <w:tcBorders>
              <w:bottom w:val="single" w:sz="6" w:space="0" w:color="D9DCCF"/>
            </w:tcBorders>
            <w:tcMar>
              <w:top w:w="90" w:type="dxa"/>
              <w:left w:w="0" w:type="dxa"/>
              <w:bottom w:w="90" w:type="dxa"/>
              <w:right w:w="75" w:type="dxa"/>
            </w:tcMar>
            <w:vAlign w:val="center"/>
            <w:hideMark/>
          </w:tcPr>
          <w:p w:rsidR="00780AA3" w:rsidRPr="006956E5" w:rsidRDefault="00780AA3" w:rsidP="006956E5">
            <w:pPr>
              <w:spacing w:after="0" w:line="319" w:lineRule="atLeast"/>
              <w:jc w:val="center"/>
              <w:rPr>
                <w:rFonts w:ascii="Arial" w:eastAsia="Times New Roman" w:hAnsi="Arial" w:cs="Arial"/>
                <w:b/>
                <w:bCs/>
                <w:color w:val="333333"/>
                <w:sz w:val="36"/>
                <w:szCs w:val="36"/>
              </w:rPr>
            </w:pPr>
            <w:r w:rsidRPr="006956E5">
              <w:rPr>
                <w:rFonts w:ascii="Arial" w:eastAsia="Times New Roman" w:hAnsi="Arial" w:cs="Arial"/>
                <w:b/>
                <w:bCs/>
                <w:color w:val="333333"/>
                <w:sz w:val="36"/>
                <w:szCs w:val="36"/>
              </w:rPr>
              <w:t>Team Leader</w:t>
            </w:r>
          </w:p>
        </w:tc>
        <w:tc>
          <w:tcPr>
            <w:tcW w:w="3780" w:type="dxa"/>
            <w:tcBorders>
              <w:bottom w:val="single" w:sz="6" w:space="0" w:color="D9DCCF"/>
            </w:tcBorders>
            <w:tcMar>
              <w:top w:w="105" w:type="dxa"/>
              <w:left w:w="0" w:type="dxa"/>
              <w:bottom w:w="75" w:type="dxa"/>
              <w:right w:w="75" w:type="dxa"/>
            </w:tcMar>
            <w:hideMark/>
          </w:tcPr>
          <w:p w:rsidR="00780AA3" w:rsidRPr="006956E5" w:rsidRDefault="00780AA3" w:rsidP="006956E5">
            <w:pPr>
              <w:spacing w:after="0" w:line="319" w:lineRule="atLeast"/>
              <w:jc w:val="center"/>
              <w:rPr>
                <w:rFonts w:ascii="Arial" w:eastAsia="Times New Roman" w:hAnsi="Arial" w:cs="Arial"/>
                <w:color w:val="333333"/>
                <w:sz w:val="36"/>
                <w:szCs w:val="36"/>
              </w:rPr>
            </w:pPr>
            <w:proofErr w:type="spellStart"/>
            <w:r w:rsidRPr="006956E5">
              <w:rPr>
                <w:rFonts w:ascii="Arial" w:eastAsia="Times New Roman" w:hAnsi="Arial" w:cs="Arial"/>
                <w:color w:val="333333"/>
                <w:sz w:val="36"/>
                <w:szCs w:val="36"/>
              </w:rPr>
              <w:t>Niraj</w:t>
            </w:r>
            <w:proofErr w:type="spellEnd"/>
            <w:r w:rsidRPr="006956E5">
              <w:rPr>
                <w:rFonts w:ascii="Arial" w:eastAsia="Times New Roman" w:hAnsi="Arial" w:cs="Arial"/>
                <w:color w:val="333333"/>
                <w:sz w:val="36"/>
                <w:szCs w:val="36"/>
              </w:rPr>
              <w:t xml:space="preserve"> </w:t>
            </w:r>
            <w:proofErr w:type="spellStart"/>
            <w:r w:rsidRPr="006956E5">
              <w:rPr>
                <w:rFonts w:ascii="Arial" w:eastAsia="Times New Roman" w:hAnsi="Arial" w:cs="Arial"/>
                <w:color w:val="333333"/>
                <w:sz w:val="36"/>
                <w:szCs w:val="36"/>
              </w:rPr>
              <w:t>Verma</w:t>
            </w:r>
            <w:proofErr w:type="spellEnd"/>
          </w:p>
        </w:tc>
      </w:tr>
    </w:tbl>
    <w:p w:rsidR="005C14AC" w:rsidRPr="006956E5" w:rsidRDefault="009A4B96" w:rsidP="006956E5">
      <w:pPr>
        <w:jc w:val="center"/>
        <w:rPr>
          <w:sz w:val="36"/>
          <w:szCs w:val="36"/>
        </w:rPr>
      </w:pPr>
    </w:p>
    <w:sectPr w:rsidR="005C14AC" w:rsidRPr="006956E5" w:rsidSect="00C007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6E5" w:rsidRDefault="006956E5" w:rsidP="006956E5">
      <w:pPr>
        <w:spacing w:after="0" w:line="240" w:lineRule="auto"/>
      </w:pPr>
      <w:r>
        <w:separator/>
      </w:r>
    </w:p>
  </w:endnote>
  <w:endnote w:type="continuationSeparator" w:id="1">
    <w:p w:rsidR="006956E5" w:rsidRDefault="006956E5" w:rsidP="00695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E5" w:rsidRDefault="00695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E5" w:rsidRDefault="006956E5" w:rsidP="006956E5">
    <w:pPr>
      <w:pStyle w:val="Footer"/>
      <w:pBdr>
        <w:top w:val="thinThickSmallGap" w:sz="24" w:space="1" w:color="823B0B" w:themeColor="accent2" w:themeShade="7F"/>
      </w:pBdr>
      <w:rPr>
        <w:rFonts w:asciiTheme="majorHAnsi" w:hAnsiTheme="majorHAnsi"/>
      </w:rPr>
    </w:pPr>
    <w:r w:rsidRPr="006956E5">
      <w:rPr>
        <w:rFonts w:asciiTheme="majorHAnsi" w:hAnsiTheme="majorHAnsi"/>
      </w:rPr>
      <w:t>India Infrastructure Finance Co</w:t>
    </w:r>
    <w:r>
      <w:rPr>
        <w:rFonts w:asciiTheme="majorHAnsi" w:hAnsiTheme="majorHAnsi"/>
      </w:rPr>
      <w:ptab w:relativeTo="margin" w:alignment="right" w:leader="none"/>
    </w:r>
    <w:r>
      <w:rPr>
        <w:rFonts w:asciiTheme="majorHAnsi" w:hAnsiTheme="majorHAnsi"/>
      </w:rPr>
      <w:t xml:space="preserve">Page </w:t>
    </w:r>
    <w:fldSimple w:instr=" PAGE   \* MERGEFORMAT ">
      <w:r w:rsidR="009A4B96" w:rsidRPr="009A4B96">
        <w:rPr>
          <w:rFonts w:asciiTheme="majorHAnsi" w:hAnsiTheme="majorHAnsi"/>
          <w:noProof/>
        </w:rPr>
        <w:t>1</w:t>
      </w:r>
    </w:fldSimple>
  </w:p>
  <w:p w:rsidR="006956E5" w:rsidRDefault="006956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E5" w:rsidRDefault="00695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6E5" w:rsidRDefault="006956E5" w:rsidP="006956E5">
      <w:pPr>
        <w:spacing w:after="0" w:line="240" w:lineRule="auto"/>
      </w:pPr>
      <w:r>
        <w:separator/>
      </w:r>
    </w:p>
  </w:footnote>
  <w:footnote w:type="continuationSeparator" w:id="1">
    <w:p w:rsidR="006956E5" w:rsidRDefault="006956E5" w:rsidP="00695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E5" w:rsidRDefault="006956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E5" w:rsidRPr="006956E5" w:rsidRDefault="006956E5" w:rsidP="006956E5">
    <w:pPr>
      <w:pBdr>
        <w:bottom w:val="single" w:sz="4" w:space="1" w:color="auto"/>
      </w:pBdr>
      <w:shd w:val="clear" w:color="auto" w:fill="D9DCCF"/>
      <w:spacing w:before="100" w:beforeAutospacing="1" w:after="100" w:afterAutospacing="1" w:line="369" w:lineRule="atLeast"/>
      <w:jc w:val="center"/>
      <w:rPr>
        <w:rFonts w:ascii="Arial" w:eastAsia="Times New Roman" w:hAnsi="Arial" w:cs="Arial"/>
        <w:color w:val="333333"/>
        <w:sz w:val="48"/>
        <w:szCs w:val="48"/>
      </w:rPr>
    </w:pPr>
    <w:bookmarkStart w:id="0" w:name="_GoBack"/>
    <w:r w:rsidRPr="006956E5">
      <w:rPr>
        <w:rFonts w:ascii="Arial" w:eastAsia="Times New Roman" w:hAnsi="Arial" w:cs="Arial"/>
        <w:color w:val="333333"/>
        <w:sz w:val="48"/>
        <w:szCs w:val="48"/>
      </w:rPr>
      <w:t>India Infrastructure Finance Co</w:t>
    </w:r>
  </w:p>
  <w:bookmarkEnd w:id="0"/>
  <w:p w:rsidR="006956E5" w:rsidRDefault="006956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E5" w:rsidRDefault="006956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80AA3"/>
    <w:rsid w:val="00021AB6"/>
    <w:rsid w:val="006956E5"/>
    <w:rsid w:val="006D4DE4"/>
    <w:rsid w:val="00780AA3"/>
    <w:rsid w:val="009A4B96"/>
    <w:rsid w:val="00C0073A"/>
    <w:rsid w:val="00C10CD3"/>
    <w:rsid w:val="00DE5A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6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6E5"/>
  </w:style>
  <w:style w:type="paragraph" w:styleId="Footer">
    <w:name w:val="footer"/>
    <w:basedOn w:val="Normal"/>
    <w:link w:val="FooterChar"/>
    <w:uiPriority w:val="99"/>
    <w:unhideWhenUsed/>
    <w:rsid w:val="00695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E5"/>
  </w:style>
  <w:style w:type="paragraph" w:styleId="BalloonText">
    <w:name w:val="Balloon Text"/>
    <w:basedOn w:val="Normal"/>
    <w:link w:val="BalloonTextChar"/>
    <w:uiPriority w:val="99"/>
    <w:semiHidden/>
    <w:unhideWhenUsed/>
    <w:rsid w:val="00695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6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78430">
      <w:bodyDiv w:val="1"/>
      <w:marLeft w:val="0"/>
      <w:marRight w:val="0"/>
      <w:marTop w:val="0"/>
      <w:marBottom w:val="0"/>
      <w:divBdr>
        <w:top w:val="none" w:sz="0" w:space="0" w:color="auto"/>
        <w:left w:val="none" w:sz="0" w:space="0" w:color="auto"/>
        <w:bottom w:val="none" w:sz="0" w:space="0" w:color="auto"/>
        <w:right w:val="none" w:sz="0" w:space="0" w:color="auto"/>
      </w:divBdr>
      <w:divsChild>
        <w:div w:id="10689625">
          <w:marLeft w:val="0"/>
          <w:marRight w:val="0"/>
          <w:marTop w:val="0"/>
          <w:marBottom w:val="0"/>
          <w:divBdr>
            <w:top w:val="none" w:sz="0" w:space="0" w:color="auto"/>
            <w:left w:val="none" w:sz="0" w:space="0" w:color="auto"/>
            <w:bottom w:val="none" w:sz="0" w:space="0" w:color="auto"/>
            <w:right w:val="none" w:sz="0" w:space="0" w:color="auto"/>
          </w:divBdr>
          <w:divsChild>
            <w:div w:id="312610560">
              <w:marLeft w:val="0"/>
              <w:marRight w:val="0"/>
              <w:marTop w:val="0"/>
              <w:marBottom w:val="0"/>
              <w:divBdr>
                <w:top w:val="none" w:sz="0" w:space="0" w:color="auto"/>
                <w:left w:val="none" w:sz="0" w:space="0" w:color="auto"/>
                <w:bottom w:val="none" w:sz="0" w:space="0" w:color="auto"/>
                <w:right w:val="none" w:sz="0" w:space="0" w:color="auto"/>
              </w:divBdr>
              <w:divsChild>
                <w:div w:id="1027020505">
                  <w:marLeft w:val="0"/>
                  <w:marRight w:val="0"/>
                  <w:marTop w:val="0"/>
                  <w:marBottom w:val="0"/>
                  <w:divBdr>
                    <w:top w:val="none" w:sz="0" w:space="0" w:color="auto"/>
                    <w:left w:val="none" w:sz="0" w:space="0" w:color="auto"/>
                    <w:bottom w:val="none" w:sz="0" w:space="0" w:color="auto"/>
                    <w:right w:val="none" w:sz="0" w:space="0" w:color="auto"/>
                  </w:divBdr>
                  <w:divsChild>
                    <w:div w:id="924725787">
                      <w:marLeft w:val="0"/>
                      <w:marRight w:val="0"/>
                      <w:marTop w:val="0"/>
                      <w:marBottom w:val="0"/>
                      <w:divBdr>
                        <w:top w:val="none" w:sz="0" w:space="0" w:color="auto"/>
                        <w:left w:val="none" w:sz="0" w:space="0" w:color="auto"/>
                        <w:bottom w:val="none" w:sz="0" w:space="0" w:color="auto"/>
                        <w:right w:val="none" w:sz="0" w:space="0" w:color="auto"/>
                      </w:divBdr>
                      <w:divsChild>
                        <w:div w:id="1980842510">
                          <w:marLeft w:val="0"/>
                          <w:marRight w:val="0"/>
                          <w:marTop w:val="0"/>
                          <w:marBottom w:val="0"/>
                          <w:divBdr>
                            <w:top w:val="none" w:sz="0" w:space="0" w:color="auto"/>
                            <w:left w:val="none" w:sz="0" w:space="0" w:color="auto"/>
                            <w:bottom w:val="none" w:sz="0" w:space="0" w:color="auto"/>
                            <w:right w:val="none" w:sz="0" w:space="0" w:color="auto"/>
                          </w:divBdr>
                          <w:divsChild>
                            <w:div w:id="211430806">
                              <w:marLeft w:val="0"/>
                              <w:marRight w:val="0"/>
                              <w:marTop w:val="0"/>
                              <w:marBottom w:val="0"/>
                              <w:divBdr>
                                <w:top w:val="single" w:sz="2" w:space="0" w:color="9D0909"/>
                                <w:left w:val="none" w:sz="0" w:space="0" w:color="auto"/>
                                <w:bottom w:val="none" w:sz="0" w:space="0" w:color="auto"/>
                                <w:right w:val="none" w:sz="0" w:space="0" w:color="auto"/>
                              </w:divBdr>
                              <w:divsChild>
                                <w:div w:id="767237165">
                                  <w:marLeft w:val="0"/>
                                  <w:marRight w:val="0"/>
                                  <w:marTop w:val="0"/>
                                  <w:marBottom w:val="0"/>
                                  <w:divBdr>
                                    <w:top w:val="single" w:sz="12" w:space="0" w:color="9D0909"/>
                                    <w:left w:val="none" w:sz="0" w:space="0" w:color="auto"/>
                                    <w:bottom w:val="none" w:sz="0" w:space="0" w:color="auto"/>
                                    <w:right w:val="none" w:sz="0" w:space="0" w:color="auto"/>
                                  </w:divBdr>
                                  <w:divsChild>
                                    <w:div w:id="1711883390">
                                      <w:marLeft w:val="0"/>
                                      <w:marRight w:val="0"/>
                                      <w:marTop w:val="0"/>
                                      <w:marBottom w:val="0"/>
                                      <w:divBdr>
                                        <w:top w:val="none" w:sz="0" w:space="0" w:color="auto"/>
                                        <w:left w:val="single" w:sz="6" w:space="0" w:color="D9DCCF"/>
                                        <w:bottom w:val="none" w:sz="0" w:space="0" w:color="auto"/>
                                        <w:right w:val="single" w:sz="6" w:space="0" w:color="D9DCCF"/>
                                      </w:divBdr>
                                      <w:divsChild>
                                        <w:div w:id="265580157">
                                          <w:marLeft w:val="0"/>
                                          <w:marRight w:val="0"/>
                                          <w:marTop w:val="0"/>
                                          <w:marBottom w:val="0"/>
                                          <w:divBdr>
                                            <w:top w:val="none" w:sz="0" w:space="0" w:color="auto"/>
                                            <w:left w:val="none" w:sz="0" w:space="0" w:color="auto"/>
                                            <w:bottom w:val="none" w:sz="0" w:space="0" w:color="auto"/>
                                            <w:right w:val="none" w:sz="0" w:space="0" w:color="auto"/>
                                          </w:divBdr>
                                          <w:divsChild>
                                            <w:div w:id="594049980">
                                              <w:marLeft w:val="0"/>
                                              <w:marRight w:val="0"/>
                                              <w:marTop w:val="0"/>
                                              <w:marBottom w:val="0"/>
                                              <w:divBdr>
                                                <w:top w:val="none" w:sz="0" w:space="0" w:color="auto"/>
                                                <w:left w:val="none" w:sz="0" w:space="0" w:color="auto"/>
                                                <w:bottom w:val="none" w:sz="0" w:space="0" w:color="auto"/>
                                                <w:right w:val="none" w:sz="0" w:space="0" w:color="auto"/>
                                              </w:divBdr>
                                            </w:div>
                                            <w:div w:id="706108376">
                                              <w:marLeft w:val="0"/>
                                              <w:marRight w:val="0"/>
                                              <w:marTop w:val="0"/>
                                              <w:marBottom w:val="0"/>
                                              <w:divBdr>
                                                <w:top w:val="none" w:sz="0" w:space="0" w:color="auto"/>
                                                <w:left w:val="none" w:sz="0" w:space="0" w:color="auto"/>
                                                <w:bottom w:val="none" w:sz="0" w:space="0" w:color="auto"/>
                                                <w:right w:val="none" w:sz="0" w:space="0" w:color="auto"/>
                                              </w:divBdr>
                                              <w:divsChild>
                                                <w:div w:id="513612126">
                                                  <w:marLeft w:val="0"/>
                                                  <w:marRight w:val="0"/>
                                                  <w:marTop w:val="0"/>
                                                  <w:marBottom w:val="0"/>
                                                  <w:divBdr>
                                                    <w:top w:val="none" w:sz="0" w:space="0" w:color="auto"/>
                                                    <w:left w:val="none" w:sz="0" w:space="0" w:color="auto"/>
                                                    <w:bottom w:val="none" w:sz="0" w:space="0" w:color="auto"/>
                                                    <w:right w:val="none" w:sz="0" w:space="0" w:color="auto"/>
                                                  </w:divBdr>
                                                  <w:divsChild>
                                                    <w:div w:id="381178743">
                                                      <w:marLeft w:val="0"/>
                                                      <w:marRight w:val="0"/>
                                                      <w:marTop w:val="0"/>
                                                      <w:marBottom w:val="0"/>
                                                      <w:divBdr>
                                                        <w:top w:val="none" w:sz="0" w:space="0" w:color="auto"/>
                                                        <w:left w:val="none" w:sz="0" w:space="0" w:color="auto"/>
                                                        <w:bottom w:val="none" w:sz="0" w:space="0" w:color="auto"/>
                                                        <w:right w:val="none" w:sz="0" w:space="0" w:color="auto"/>
                                                      </w:divBdr>
                                                      <w:divsChild>
                                                        <w:div w:id="4787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worldbank.org/en/region/sa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en/country/indi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Zaigham Rizvi</dc:creator>
  <cp:lastModifiedBy>www</cp:lastModifiedBy>
  <cp:revision>2</cp:revision>
  <dcterms:created xsi:type="dcterms:W3CDTF">2016-05-05T18:54:00Z</dcterms:created>
  <dcterms:modified xsi:type="dcterms:W3CDTF">2016-05-05T18:54:00Z</dcterms:modified>
</cp:coreProperties>
</file>