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DC9" w:rsidRDefault="00381C58" w:rsidP="005F1DC9">
      <w:pPr>
        <w:pStyle w:val="ListParagraph"/>
        <w:ind w:left="0"/>
      </w:pPr>
      <w:r>
        <w:t xml:space="preserve"> </w:t>
      </w:r>
      <w:r w:rsidR="005F1DC9">
        <w:t xml:space="preserve">Country Report – </w:t>
      </w:r>
      <w:r w:rsidR="00DD14E7">
        <w:t>PHILIPPINES</w:t>
      </w:r>
    </w:p>
    <w:p w:rsidR="00E63638" w:rsidRDefault="00E63638" w:rsidP="005F1DC9">
      <w:pPr>
        <w:pStyle w:val="ListParagraph"/>
        <w:ind w:left="0"/>
      </w:pPr>
    </w:p>
    <w:p w:rsidR="00E63638" w:rsidRDefault="00E63638" w:rsidP="005F1DC9">
      <w:pPr>
        <w:pStyle w:val="ListParagraph"/>
        <w:ind w:left="0"/>
      </w:pPr>
    </w:p>
    <w:p w:rsidR="005F1DC9" w:rsidRDefault="005F1DC9" w:rsidP="005F1DC9">
      <w:pPr>
        <w:pStyle w:val="ListParagraph"/>
        <w:ind w:left="0"/>
      </w:pPr>
    </w:p>
    <w:p w:rsidR="009A6595" w:rsidRDefault="009A6595" w:rsidP="005F1DC9">
      <w:pPr>
        <w:pStyle w:val="ListParagraph"/>
        <w:ind w:left="0"/>
      </w:pPr>
    </w:p>
    <w:p w:rsidR="00A01AE6" w:rsidRDefault="00A01AE6" w:rsidP="00A01AE6">
      <w:pPr>
        <w:pStyle w:val="ListParagraph"/>
        <w:numPr>
          <w:ilvl w:val="0"/>
          <w:numId w:val="10"/>
        </w:numPr>
      </w:pPr>
      <w:r>
        <w:t>Socio-economic Snapshot</w:t>
      </w:r>
    </w:p>
    <w:p w:rsidR="00A01AE6" w:rsidRDefault="00A01AE6" w:rsidP="00A01AE6">
      <w:pPr>
        <w:pStyle w:val="ListParagraph"/>
        <w:numPr>
          <w:ilvl w:val="1"/>
          <w:numId w:val="10"/>
        </w:numPr>
        <w:ind w:left="2250"/>
      </w:pPr>
      <w:r w:rsidRPr="005124B5">
        <w:t>Population</w:t>
      </w:r>
    </w:p>
    <w:p w:rsidR="00F30F7E" w:rsidRDefault="00F30F7E" w:rsidP="00F30F7E">
      <w:pPr>
        <w:pStyle w:val="ListParagraph"/>
        <w:ind w:left="2250"/>
      </w:pPr>
    </w:p>
    <w:p w:rsidR="002A57B8" w:rsidRDefault="002A57B8" w:rsidP="00F30F7E">
      <w:pPr>
        <w:pStyle w:val="ListParagraph"/>
        <w:ind w:left="2250"/>
      </w:pPr>
      <w:r>
        <w:t>The total population of the Philippines is 103,775,002</w:t>
      </w:r>
      <w:r w:rsidR="002C0C43">
        <w:t>, and</w:t>
      </w:r>
      <w:r w:rsidR="00381C58">
        <w:t xml:space="preserve"> is</w:t>
      </w:r>
      <w:r w:rsidR="002C0C43">
        <w:t xml:space="preserve"> 12</w:t>
      </w:r>
      <w:r w:rsidR="002C0C43" w:rsidRPr="002C0C43">
        <w:rPr>
          <w:vertAlign w:val="superscript"/>
        </w:rPr>
        <w:t>th</w:t>
      </w:r>
      <w:r w:rsidR="002C0C43">
        <w:t xml:space="preserve"> largest in the world.</w:t>
      </w:r>
      <w:r w:rsidR="00815C60">
        <w:t xml:space="preserve"> </w:t>
      </w:r>
      <w:r w:rsidR="00F30418">
        <w:t xml:space="preserve">The ethnic groups of the country are, Tagalog 28.1%, Cebuano 13.1%, Ilocano 9%, </w:t>
      </w:r>
      <w:proofErr w:type="spellStart"/>
      <w:r w:rsidR="00F30418">
        <w:t>Bisaya</w:t>
      </w:r>
      <w:proofErr w:type="spellEnd"/>
      <w:r w:rsidR="00F30418">
        <w:t>/</w:t>
      </w:r>
      <w:proofErr w:type="spellStart"/>
      <w:r w:rsidR="00F30418">
        <w:t>Binisaya</w:t>
      </w:r>
      <w:proofErr w:type="spellEnd"/>
      <w:r w:rsidR="00F30418">
        <w:t xml:space="preserve"> 7.6%, Hiligaynon </w:t>
      </w:r>
      <w:proofErr w:type="spellStart"/>
      <w:r w:rsidR="00F30418">
        <w:t>Ilonggo</w:t>
      </w:r>
      <w:proofErr w:type="spellEnd"/>
      <w:r w:rsidR="00F30418">
        <w:t xml:space="preserve"> 7.5%, </w:t>
      </w:r>
      <w:proofErr w:type="spellStart"/>
      <w:r w:rsidR="00F30418">
        <w:t>Bikol</w:t>
      </w:r>
      <w:proofErr w:type="spellEnd"/>
      <w:r w:rsidR="00F30418">
        <w:t xml:space="preserve"> 6%, </w:t>
      </w:r>
      <w:proofErr w:type="spellStart"/>
      <w:r w:rsidR="00F30418">
        <w:t>Waray</w:t>
      </w:r>
      <w:proofErr w:type="spellEnd"/>
      <w:r w:rsidR="00F30418">
        <w:t xml:space="preserve"> 3.4%, and other 25.3%.</w:t>
      </w:r>
      <w:r w:rsidR="001B5402">
        <w:t xml:space="preserve"> Among the population Catholics are 82.9%, Muslims are 5%, Evangelical 2.8%, </w:t>
      </w:r>
      <w:proofErr w:type="spellStart"/>
      <w:r w:rsidR="001B5402">
        <w:t>Iglesia</w:t>
      </w:r>
      <w:proofErr w:type="spellEnd"/>
      <w:r w:rsidR="001B5402">
        <w:t xml:space="preserve"> </w:t>
      </w:r>
      <w:proofErr w:type="spellStart"/>
      <w:proofErr w:type="gramStart"/>
      <w:r w:rsidR="001B5402">
        <w:t>ni</w:t>
      </w:r>
      <w:proofErr w:type="spellEnd"/>
      <w:proofErr w:type="gramEnd"/>
      <w:r w:rsidR="001B5402">
        <w:t xml:space="preserve"> </w:t>
      </w:r>
      <w:proofErr w:type="spellStart"/>
      <w:r w:rsidR="001B5402">
        <w:t>Kristo</w:t>
      </w:r>
      <w:proofErr w:type="spellEnd"/>
      <w:r w:rsidR="001B5402">
        <w:t xml:space="preserve"> 2.3%, other Christian</w:t>
      </w:r>
      <w:r w:rsidR="00381C58">
        <w:t>s</w:t>
      </w:r>
      <w:r w:rsidR="001B5402">
        <w:t xml:space="preserve"> 4.5%, other</w:t>
      </w:r>
      <w:r w:rsidR="00A57648">
        <w:t>s</w:t>
      </w:r>
      <w:r w:rsidR="00381C58">
        <w:t xml:space="preserve"> 1.8%, unspecified 0.7%</w:t>
      </w:r>
      <w:r w:rsidR="007146B1">
        <w:t>.</w:t>
      </w:r>
    </w:p>
    <w:p w:rsidR="00F30F7E" w:rsidRDefault="00F30F7E" w:rsidP="00F30F7E">
      <w:pPr>
        <w:pStyle w:val="ListParagraph"/>
        <w:ind w:left="2250"/>
      </w:pPr>
    </w:p>
    <w:p w:rsidR="00A01AE6" w:rsidRDefault="00A01AE6" w:rsidP="00A01AE6">
      <w:pPr>
        <w:pStyle w:val="ListParagraph"/>
        <w:numPr>
          <w:ilvl w:val="1"/>
          <w:numId w:val="10"/>
        </w:numPr>
        <w:ind w:left="2250"/>
      </w:pPr>
      <w:r w:rsidRPr="005124B5">
        <w:t>Per Capita Income</w:t>
      </w:r>
    </w:p>
    <w:p w:rsidR="00F30F7E" w:rsidRDefault="00F30F7E" w:rsidP="00F30F7E">
      <w:pPr>
        <w:pStyle w:val="ListParagraph"/>
        <w:ind w:left="2250"/>
      </w:pPr>
    </w:p>
    <w:p w:rsidR="00F30F7E" w:rsidRDefault="00A93F4C" w:rsidP="00F30F7E">
      <w:pPr>
        <w:pStyle w:val="ListParagraph"/>
        <w:ind w:left="2250"/>
      </w:pPr>
      <w:r>
        <w:t xml:space="preserve">Per capita income </w:t>
      </w:r>
      <w:r w:rsidR="005C237A">
        <w:t>of Philippines is US $2,223.</w:t>
      </w:r>
    </w:p>
    <w:p w:rsidR="005D414D" w:rsidRDefault="005D414D" w:rsidP="00F30F7E">
      <w:pPr>
        <w:pStyle w:val="ListParagraph"/>
        <w:ind w:left="2250"/>
      </w:pPr>
    </w:p>
    <w:p w:rsidR="00A01AE6" w:rsidRDefault="00A01AE6" w:rsidP="00A01AE6">
      <w:pPr>
        <w:pStyle w:val="ListParagraph"/>
        <w:numPr>
          <w:ilvl w:val="1"/>
          <w:numId w:val="10"/>
        </w:numPr>
        <w:ind w:left="2250"/>
      </w:pPr>
      <w:r>
        <w:t>Affordability</w:t>
      </w:r>
    </w:p>
    <w:p w:rsidR="005D414D" w:rsidRDefault="005D414D" w:rsidP="005D414D">
      <w:pPr>
        <w:pStyle w:val="ListParagraph"/>
        <w:ind w:left="2250"/>
      </w:pPr>
    </w:p>
    <w:p w:rsidR="007146B1" w:rsidRDefault="00F7279F" w:rsidP="007146B1">
      <w:pPr>
        <w:pStyle w:val="ListParagraph"/>
        <w:ind w:left="2250"/>
      </w:pPr>
      <w:r>
        <w:t>The</w:t>
      </w:r>
      <w:r w:rsidR="007146B1">
        <w:t xml:space="preserve"> 2006 Family Income and Expenditure Survey shows that the affordable average monthly housing amortisation/rent for households in the first </w:t>
      </w:r>
      <w:proofErr w:type="spellStart"/>
      <w:r w:rsidR="007146B1">
        <w:t>decile</w:t>
      </w:r>
      <w:proofErr w:type="spellEnd"/>
      <w:r w:rsidR="007146B1">
        <w:t xml:space="preserve"> is PHP 264.78 (USD6.38); for the second </w:t>
      </w:r>
      <w:proofErr w:type="spellStart"/>
      <w:r w:rsidR="007146B1">
        <w:t>decile</w:t>
      </w:r>
      <w:proofErr w:type="spellEnd"/>
      <w:r w:rsidR="007146B1">
        <w:t xml:space="preserve">, PHP388.71 (USD9.36); and for the third </w:t>
      </w:r>
      <w:proofErr w:type="spellStart"/>
      <w:r w:rsidR="007146B1">
        <w:t>decile</w:t>
      </w:r>
      <w:proofErr w:type="spellEnd"/>
      <w:r w:rsidR="007146B1">
        <w:t xml:space="preserve">, PHP496.38 (USD11.96). The Community Mortgage </w:t>
      </w:r>
      <w:proofErr w:type="spellStart"/>
      <w:r w:rsidR="007146B1">
        <w:t>Programme’s</w:t>
      </w:r>
      <w:proofErr w:type="spellEnd"/>
      <w:r w:rsidR="007146B1">
        <w:t xml:space="preserve"> </w:t>
      </w:r>
      <w:r w:rsidR="00381C58">
        <w:t xml:space="preserve">defines </w:t>
      </w:r>
      <w:r w:rsidR="007146B1">
        <w:t xml:space="preserve">average monthly </w:t>
      </w:r>
      <w:r w:rsidR="00381C58">
        <w:t>amortization</w:t>
      </w:r>
      <w:r w:rsidR="007146B1">
        <w:t xml:space="preserve"> of PHP100 – PHP500 (USD2.41 – USD12.04), depending on the location of the site and size of the lot, is within the range of af</w:t>
      </w:r>
      <w:r w:rsidR="008618A3">
        <w:t>fordable monthly housing amortis</w:t>
      </w:r>
      <w:r w:rsidR="007146B1">
        <w:t>ation for households in the lowest thirty percent of the income structure.</w:t>
      </w:r>
      <w:r>
        <w:rPr>
          <w:rStyle w:val="FootnoteReference"/>
        </w:rPr>
        <w:footnoteReference w:id="1"/>
      </w:r>
    </w:p>
    <w:p w:rsidR="005D414D" w:rsidRDefault="005D414D" w:rsidP="005D414D">
      <w:pPr>
        <w:pStyle w:val="ListParagraph"/>
        <w:ind w:left="2250"/>
      </w:pPr>
    </w:p>
    <w:p w:rsidR="007146B1" w:rsidRDefault="007146B1" w:rsidP="005D414D">
      <w:pPr>
        <w:pStyle w:val="ListParagraph"/>
        <w:ind w:left="2250"/>
      </w:pPr>
    </w:p>
    <w:p w:rsidR="00A01AE6" w:rsidRDefault="00A01AE6" w:rsidP="00A01AE6">
      <w:pPr>
        <w:pStyle w:val="ListParagraph"/>
        <w:numPr>
          <w:ilvl w:val="0"/>
          <w:numId w:val="10"/>
        </w:numPr>
      </w:pPr>
      <w:r w:rsidRPr="009B1B76">
        <w:rPr>
          <w:highlight w:val="green"/>
        </w:rPr>
        <w:t>Measures</w:t>
      </w:r>
      <w:r>
        <w:t xml:space="preserve"> of Affordability</w:t>
      </w:r>
    </w:p>
    <w:p w:rsidR="00A01AE6" w:rsidRDefault="00A01AE6" w:rsidP="00A01AE6">
      <w:pPr>
        <w:pStyle w:val="ListParagraph"/>
        <w:numPr>
          <w:ilvl w:val="1"/>
          <w:numId w:val="10"/>
        </w:numPr>
        <w:ind w:left="2250"/>
      </w:pPr>
      <w:r>
        <w:t>Income/Repayment/Cost of housing Units</w:t>
      </w:r>
    </w:p>
    <w:p w:rsidR="00A01AE6" w:rsidRDefault="00A01AE6" w:rsidP="00A01AE6">
      <w:pPr>
        <w:pStyle w:val="ListParagraph"/>
        <w:numPr>
          <w:ilvl w:val="1"/>
          <w:numId w:val="10"/>
        </w:numPr>
        <w:ind w:left="2250"/>
      </w:pPr>
      <w:r>
        <w:t>Any State level Definition of Low-Income Housing</w:t>
      </w:r>
    </w:p>
    <w:p w:rsidR="00B51A41" w:rsidRDefault="00B51A41" w:rsidP="00B51A41">
      <w:pPr>
        <w:pStyle w:val="ListParagraph"/>
        <w:ind w:left="2250"/>
      </w:pPr>
    </w:p>
    <w:p w:rsidR="00965372" w:rsidRPr="00965372" w:rsidRDefault="00965372" w:rsidP="00965372">
      <w:pPr>
        <w:pStyle w:val="ListParagraph"/>
        <w:ind w:left="2250"/>
      </w:pPr>
      <w:r w:rsidRPr="00965372">
        <w:t xml:space="preserve">The National Shelter Program (NSP), which regulates housing production, regulation and financing, is the Philippines’ banner program for low-income housing provision. The NSP divides housing into ‘socialized’ (valued at less than USD 6,000, targeted at households up to the 30th income percentile) and </w:t>
      </w:r>
      <w:r w:rsidRPr="00965372">
        <w:lastRenderedPageBreak/>
        <w:t>‘economic’ housing units (valued at up to USD 40,000, targeted at households up to the 50th income percentile).</w:t>
      </w:r>
    </w:p>
    <w:p w:rsidR="00965372" w:rsidRPr="00965372" w:rsidRDefault="00965372" w:rsidP="00965372">
      <w:pPr>
        <w:pStyle w:val="ListParagraph"/>
        <w:ind w:left="2250"/>
      </w:pPr>
      <w:r w:rsidRPr="00965372">
        <w:t>Current housing efforts remain inadequate, with figures showing an acute housing shortage estimated at over one million units – still probably a gross underestimate. On average, the NSP has only delivered 26 per cent of its target, or less than 10 per cent of total housing need. Moreover, the housi</w:t>
      </w:r>
      <w:r w:rsidR="00922870">
        <w:t>ng backlog is likely to worsen,</w:t>
      </w:r>
      <w:r w:rsidRPr="00965372">
        <w:t xml:space="preserve"> due to worsening poverty and increasing urbanisation</w:t>
      </w:r>
      <w:r>
        <w:rPr>
          <w:rStyle w:val="FootnoteReference"/>
        </w:rPr>
        <w:footnoteReference w:id="2"/>
      </w:r>
      <w:r w:rsidRPr="00965372">
        <w:t>.</w:t>
      </w:r>
    </w:p>
    <w:p w:rsidR="00965372" w:rsidRDefault="00965372" w:rsidP="00B51A41">
      <w:pPr>
        <w:pStyle w:val="ListParagraph"/>
        <w:ind w:left="2250"/>
      </w:pPr>
    </w:p>
    <w:p w:rsidR="00B51A41" w:rsidRDefault="00B51A41" w:rsidP="00B51A41">
      <w:pPr>
        <w:pStyle w:val="ListParagraph"/>
        <w:ind w:left="2250"/>
      </w:pPr>
      <w:r>
        <w:t>More than half a million people leave in low income housing near the waterways.</w:t>
      </w:r>
      <w:r>
        <w:rPr>
          <w:rStyle w:val="FootnoteReference"/>
        </w:rPr>
        <w:footnoteReference w:id="3"/>
      </w:r>
    </w:p>
    <w:p w:rsidR="005A512F" w:rsidRDefault="005A512F" w:rsidP="00B51A41">
      <w:pPr>
        <w:pStyle w:val="ListParagraph"/>
        <w:ind w:left="2250"/>
      </w:pPr>
    </w:p>
    <w:p w:rsidR="005A512F" w:rsidRDefault="005A512F" w:rsidP="00B51A41">
      <w:pPr>
        <w:pStyle w:val="ListParagraph"/>
        <w:ind w:left="2250"/>
      </w:pPr>
      <w:r>
        <w:t>The government’s approach is primarily to build “low income rental housing” projects.  These would be funded by governmental and donor organizations.  There was little analysis performed as to the long term costs of this housing.</w:t>
      </w:r>
    </w:p>
    <w:p w:rsidR="005A512F" w:rsidRDefault="005A512F" w:rsidP="00B51A41">
      <w:pPr>
        <w:pStyle w:val="ListParagraph"/>
        <w:ind w:left="2250"/>
      </w:pPr>
    </w:p>
    <w:p w:rsidR="005A512F" w:rsidRDefault="00922870" w:rsidP="005A512F">
      <w:pPr>
        <w:pStyle w:val="ListParagraph"/>
        <w:numPr>
          <w:ilvl w:val="0"/>
          <w:numId w:val="13"/>
        </w:numPr>
      </w:pPr>
      <w:r>
        <w:t>The Government has</w:t>
      </w:r>
      <w:r w:rsidR="005A512F">
        <w:t xml:space="preserve"> embarked on a housing construction program using </w:t>
      </w:r>
      <w:proofErr w:type="spellStart"/>
      <w:r w:rsidR="005A512F">
        <w:t>AusAid</w:t>
      </w:r>
      <w:proofErr w:type="spellEnd"/>
      <w:r w:rsidR="005A512F">
        <w:t xml:space="preserve"> funds, </w:t>
      </w:r>
      <w:r>
        <w:t>and some circles recommend that</w:t>
      </w:r>
      <w:r w:rsidR="005A512F">
        <w:t xml:space="preserve"> they evaluate their approach before additional projects are awarded</w:t>
      </w:r>
      <w:r w:rsidR="00962682">
        <w:t xml:space="preserve"> on this model</w:t>
      </w:r>
      <w:r w:rsidR="005A512F">
        <w:t xml:space="preserve">. </w:t>
      </w:r>
    </w:p>
    <w:p w:rsidR="005A512F" w:rsidRDefault="005A512F" w:rsidP="00B51A41">
      <w:pPr>
        <w:pStyle w:val="ListParagraph"/>
        <w:ind w:left="2250"/>
      </w:pPr>
    </w:p>
    <w:p w:rsidR="00B5432C" w:rsidRDefault="00B5432C" w:rsidP="00B5432C">
      <w:pPr>
        <w:pStyle w:val="ListParagraph"/>
        <w:ind w:left="2250"/>
      </w:pPr>
    </w:p>
    <w:p w:rsidR="00A01AE6" w:rsidRDefault="00A01AE6" w:rsidP="00A01AE6">
      <w:pPr>
        <w:pStyle w:val="ListParagraph"/>
        <w:numPr>
          <w:ilvl w:val="0"/>
          <w:numId w:val="10"/>
        </w:numPr>
      </w:pPr>
      <w:r>
        <w:t>Housing Finance Institutional Framework:</w:t>
      </w:r>
    </w:p>
    <w:p w:rsidR="009B1B76" w:rsidRDefault="009B1B76" w:rsidP="009B1B76">
      <w:pPr>
        <w:pStyle w:val="ListParagraph"/>
        <w:ind w:left="1080"/>
      </w:pPr>
    </w:p>
    <w:p w:rsidR="00A01AE6" w:rsidRDefault="00A01AE6" w:rsidP="00A01AE6">
      <w:pPr>
        <w:pStyle w:val="ListParagraph"/>
        <w:numPr>
          <w:ilvl w:val="1"/>
          <w:numId w:val="10"/>
        </w:numPr>
        <w:ind w:left="2250"/>
      </w:pPr>
      <w:r w:rsidRPr="009B1C60">
        <w:t xml:space="preserve">Housing </w:t>
      </w:r>
      <w:r>
        <w:t>Finance by Commercial B</w:t>
      </w:r>
      <w:r w:rsidRPr="009B1C60">
        <w:t>anks</w:t>
      </w:r>
    </w:p>
    <w:p w:rsidR="00721444" w:rsidRDefault="00721444" w:rsidP="00721444">
      <w:pPr>
        <w:pStyle w:val="ListParagraph"/>
        <w:ind w:left="2250"/>
      </w:pPr>
    </w:p>
    <w:p w:rsidR="00721444" w:rsidRDefault="00721444" w:rsidP="00721444">
      <w:pPr>
        <w:pStyle w:val="ListParagraph"/>
        <w:ind w:left="2160"/>
      </w:pPr>
    </w:p>
    <w:p w:rsidR="00721444" w:rsidRDefault="00721444" w:rsidP="00721444">
      <w:pPr>
        <w:pStyle w:val="ListParagraph"/>
        <w:ind w:left="2160"/>
      </w:pPr>
    </w:p>
    <w:p w:rsidR="00721444" w:rsidRDefault="00721444" w:rsidP="00721444">
      <w:pPr>
        <w:pStyle w:val="ListParagraph"/>
        <w:ind w:left="2250"/>
      </w:pPr>
    </w:p>
    <w:p w:rsidR="00A01AE6" w:rsidRDefault="00A01AE6" w:rsidP="00A01AE6">
      <w:pPr>
        <w:pStyle w:val="ListParagraph"/>
        <w:numPr>
          <w:ilvl w:val="1"/>
          <w:numId w:val="10"/>
        </w:numPr>
        <w:ind w:left="2250"/>
      </w:pPr>
      <w:r>
        <w:t>Specialized HFIs-Public sector</w:t>
      </w:r>
    </w:p>
    <w:p w:rsidR="000B53BB" w:rsidRDefault="006761FC" w:rsidP="000B53BB">
      <w:pPr>
        <w:pStyle w:val="ListParagraph"/>
        <w:ind w:left="2250"/>
      </w:pPr>
      <w:r>
        <w:t>A housing finance system integrating savings, secondary mortgage</w:t>
      </w:r>
      <w:r w:rsidR="00FD7F19">
        <w:t xml:space="preserve"> trading and credit insurance was put in place. This crucial component of the shelter delivery system was undertaken jointly by three government agencies: the Home Development Mutual Fund (HDMF), the National Home Mortgage Finance Corporation (NHMFC) </w:t>
      </w:r>
      <w:r w:rsidR="001B4C7E">
        <w:t>and the Home Financing Corporation (HFC).</w:t>
      </w:r>
    </w:p>
    <w:p w:rsidR="00EF47A2" w:rsidRDefault="00EF47A2" w:rsidP="000B53BB">
      <w:pPr>
        <w:pStyle w:val="ListParagraph"/>
        <w:ind w:left="2250"/>
      </w:pPr>
    </w:p>
    <w:p w:rsidR="00EF47A2" w:rsidRDefault="00EF47A2" w:rsidP="00EF47A2">
      <w:pPr>
        <w:pStyle w:val="ListParagraph"/>
        <w:ind w:left="2250"/>
      </w:pPr>
      <w:r>
        <w:t xml:space="preserve">Seven key shelter agencies comprise the institutional framework of the Philippine housing sector. These include: </w:t>
      </w:r>
      <w:proofErr w:type="spellStart"/>
      <w:r>
        <w:t>i</w:t>
      </w:r>
      <w:proofErr w:type="spellEnd"/>
      <w:r>
        <w:t xml:space="preserve">) Housing and Urban Development Coordinating Council ii) National Housing Authority </w:t>
      </w:r>
    </w:p>
    <w:p w:rsidR="00EF47A2" w:rsidRDefault="00962682" w:rsidP="00EF47A2">
      <w:pPr>
        <w:pStyle w:val="ListParagraph"/>
        <w:ind w:left="2250"/>
      </w:pPr>
      <w:proofErr w:type="gramStart"/>
      <w:r>
        <w:lastRenderedPageBreak/>
        <w:t>iii</w:t>
      </w:r>
      <w:proofErr w:type="gramEnd"/>
      <w:r>
        <w:t xml:space="preserve">) </w:t>
      </w:r>
      <w:r w:rsidR="00EF47A2">
        <w:t xml:space="preserve"> National Home Mortgage Finance Corporation iv) the Home Guarantee </w:t>
      </w:r>
    </w:p>
    <w:p w:rsidR="00EF47A2" w:rsidRDefault="00962682" w:rsidP="00EF47A2">
      <w:pPr>
        <w:pStyle w:val="ListParagraph"/>
        <w:ind w:left="2250"/>
      </w:pPr>
      <w:r>
        <w:t xml:space="preserve">Corporation v) </w:t>
      </w:r>
      <w:r w:rsidR="00EF47A2">
        <w:t>Home</w:t>
      </w:r>
      <w:r>
        <w:t xml:space="preserve"> Development Mutual Fund </w:t>
      </w:r>
      <w:proofErr w:type="gramStart"/>
      <w:r>
        <w:t>vi</w:t>
      </w:r>
      <w:proofErr w:type="gramEnd"/>
      <w:r>
        <w:t>) Housing</w:t>
      </w:r>
      <w:r w:rsidR="00EF47A2">
        <w:t xml:space="preserve"> and Land Use Regulatory Board and vii) the Social Housing Finance Corporation.</w:t>
      </w:r>
      <w:r w:rsidR="00EF47A2">
        <w:rPr>
          <w:rStyle w:val="FootnoteReference"/>
        </w:rPr>
        <w:footnoteReference w:id="4"/>
      </w:r>
    </w:p>
    <w:p w:rsidR="00D72BA2" w:rsidRDefault="00D72BA2" w:rsidP="002C1364">
      <w:pPr>
        <w:spacing w:after="0" w:line="240" w:lineRule="auto"/>
        <w:ind w:left="2250"/>
      </w:pPr>
    </w:p>
    <w:p w:rsidR="000B53BB" w:rsidRDefault="000B53BB" w:rsidP="000B53BB">
      <w:pPr>
        <w:pStyle w:val="ListParagraph"/>
        <w:ind w:left="2250"/>
      </w:pPr>
    </w:p>
    <w:p w:rsidR="00A01AE6" w:rsidRDefault="00A01AE6" w:rsidP="00A01AE6">
      <w:pPr>
        <w:pStyle w:val="ListParagraph"/>
        <w:numPr>
          <w:ilvl w:val="1"/>
          <w:numId w:val="10"/>
        </w:numPr>
        <w:ind w:left="2250"/>
      </w:pPr>
      <w:r>
        <w:t>Specialized HFIs- Private  Sector</w:t>
      </w:r>
    </w:p>
    <w:p w:rsidR="000B53BB" w:rsidRDefault="000B53BB" w:rsidP="000B53BB">
      <w:pPr>
        <w:pStyle w:val="ListParagraph"/>
        <w:ind w:left="2250"/>
      </w:pPr>
    </w:p>
    <w:p w:rsidR="009611F0" w:rsidRDefault="009611F0" w:rsidP="009611F0">
      <w:pPr>
        <w:spacing w:after="0"/>
        <w:ind w:left="2268"/>
        <w:jc w:val="both"/>
        <w:rPr>
          <w:rFonts w:ascii="Times New Roman" w:hAnsi="Times New Roman" w:cs="Times New Roman"/>
        </w:rPr>
      </w:pPr>
      <w:r w:rsidRPr="00A941AB">
        <w:rPr>
          <w:rFonts w:ascii="Times New Roman" w:hAnsi="Times New Roman" w:cs="Times New Roman"/>
        </w:rPr>
        <w:t>Government recognizes the importance of the private business community</w:t>
      </w:r>
      <w:r>
        <w:rPr>
          <w:rFonts w:ascii="Times New Roman" w:hAnsi="Times New Roman" w:cs="Times New Roman"/>
        </w:rPr>
        <w:t xml:space="preserve"> </w:t>
      </w:r>
      <w:r w:rsidRPr="00A941AB">
        <w:rPr>
          <w:rFonts w:ascii="Times New Roman" w:hAnsi="Times New Roman" w:cs="Times New Roman"/>
        </w:rPr>
        <w:t>in housing development in the country. In particular, government has employed</w:t>
      </w:r>
      <w:r>
        <w:rPr>
          <w:rFonts w:ascii="Times New Roman" w:hAnsi="Times New Roman" w:cs="Times New Roman"/>
        </w:rPr>
        <w:t xml:space="preserve"> </w:t>
      </w:r>
      <w:r w:rsidRPr="00A941AB">
        <w:rPr>
          <w:rFonts w:ascii="Times New Roman" w:hAnsi="Times New Roman" w:cs="Times New Roman"/>
        </w:rPr>
        <w:t>“carrot and stick” to schemes to entice the business community (e.g.</w:t>
      </w:r>
      <w:r>
        <w:rPr>
          <w:rFonts w:ascii="Times New Roman" w:hAnsi="Times New Roman" w:cs="Times New Roman"/>
        </w:rPr>
        <w:t xml:space="preserve"> </w:t>
      </w:r>
      <w:r w:rsidRPr="00A941AB">
        <w:rPr>
          <w:rFonts w:ascii="Times New Roman" w:hAnsi="Times New Roman" w:cs="Times New Roman"/>
        </w:rPr>
        <w:t xml:space="preserve">developers) to invest in low-income housing. </w:t>
      </w:r>
    </w:p>
    <w:p w:rsidR="009611F0" w:rsidRPr="00A941AB" w:rsidRDefault="009611F0" w:rsidP="009611F0">
      <w:pPr>
        <w:spacing w:after="0"/>
        <w:jc w:val="both"/>
        <w:rPr>
          <w:rFonts w:ascii="Times New Roman" w:hAnsi="Times New Roman" w:cs="Times New Roman"/>
        </w:rPr>
      </w:pPr>
    </w:p>
    <w:p w:rsidR="009611F0" w:rsidRPr="00A941AB" w:rsidRDefault="009611F0" w:rsidP="009611F0">
      <w:pPr>
        <w:spacing w:after="0"/>
        <w:ind w:left="2268"/>
        <w:jc w:val="both"/>
        <w:rPr>
          <w:rFonts w:ascii="Times New Roman" w:hAnsi="Times New Roman" w:cs="Times New Roman"/>
        </w:rPr>
      </w:pPr>
      <w:r w:rsidRPr="00A941AB">
        <w:rPr>
          <w:rFonts w:ascii="Times New Roman" w:hAnsi="Times New Roman" w:cs="Times New Roman"/>
        </w:rPr>
        <w:t>Joint Venture Strategy</w:t>
      </w:r>
    </w:p>
    <w:p w:rsidR="009611F0" w:rsidRDefault="009611F0" w:rsidP="009611F0">
      <w:pPr>
        <w:spacing w:after="0"/>
        <w:jc w:val="both"/>
        <w:rPr>
          <w:rFonts w:ascii="Times New Roman" w:hAnsi="Times New Roman" w:cs="Times New Roman"/>
        </w:rPr>
      </w:pPr>
    </w:p>
    <w:p w:rsidR="009611F0" w:rsidRDefault="009611F0" w:rsidP="009611F0">
      <w:pPr>
        <w:spacing w:after="0"/>
        <w:ind w:left="2268"/>
        <w:jc w:val="both"/>
        <w:rPr>
          <w:rFonts w:ascii="Times New Roman" w:hAnsi="Times New Roman" w:cs="Times New Roman"/>
        </w:rPr>
      </w:pPr>
      <w:r w:rsidRPr="00A941AB">
        <w:rPr>
          <w:rFonts w:ascii="Times New Roman" w:hAnsi="Times New Roman" w:cs="Times New Roman"/>
        </w:rPr>
        <w:t>The initial effort by government to entice private developers into the</w:t>
      </w:r>
      <w:r>
        <w:rPr>
          <w:rFonts w:ascii="Times New Roman" w:hAnsi="Times New Roman" w:cs="Times New Roman"/>
        </w:rPr>
        <w:t xml:space="preserve"> </w:t>
      </w:r>
      <w:r w:rsidRPr="00A941AB">
        <w:rPr>
          <w:rFonts w:ascii="Times New Roman" w:hAnsi="Times New Roman" w:cs="Times New Roman"/>
        </w:rPr>
        <w:t>mainstream of low-income housing production was joint venture arrangement.</w:t>
      </w:r>
      <w:r>
        <w:rPr>
          <w:rFonts w:ascii="Times New Roman" w:hAnsi="Times New Roman" w:cs="Times New Roman"/>
        </w:rPr>
        <w:t xml:space="preserve"> </w:t>
      </w:r>
      <w:r w:rsidRPr="00A941AB">
        <w:rPr>
          <w:rFonts w:ascii="Times New Roman" w:hAnsi="Times New Roman" w:cs="Times New Roman"/>
        </w:rPr>
        <w:t>About 131 joint venture arrangements have been formed under the NHA joint</w:t>
      </w:r>
      <w:r>
        <w:rPr>
          <w:rFonts w:ascii="Times New Roman" w:hAnsi="Times New Roman" w:cs="Times New Roman"/>
        </w:rPr>
        <w:t xml:space="preserve"> </w:t>
      </w:r>
      <w:r w:rsidRPr="00A941AB">
        <w:rPr>
          <w:rFonts w:ascii="Times New Roman" w:hAnsi="Times New Roman" w:cs="Times New Roman"/>
        </w:rPr>
        <w:t>venture program for the period 1987 to 2001 (Table 10). In more than fifty</w:t>
      </w:r>
      <w:r>
        <w:rPr>
          <w:rFonts w:ascii="Times New Roman" w:hAnsi="Times New Roman" w:cs="Times New Roman"/>
        </w:rPr>
        <w:t xml:space="preserve"> </w:t>
      </w:r>
      <w:r w:rsidRPr="00A941AB">
        <w:rPr>
          <w:rFonts w:ascii="Times New Roman" w:hAnsi="Times New Roman" w:cs="Times New Roman"/>
        </w:rPr>
        <w:t>percent of these arrangements, the contribution of NHA is mainly technical</w:t>
      </w:r>
      <w:r>
        <w:rPr>
          <w:rFonts w:ascii="Times New Roman" w:hAnsi="Times New Roman" w:cs="Times New Roman"/>
        </w:rPr>
        <w:t xml:space="preserve"> </w:t>
      </w:r>
      <w:r w:rsidRPr="00A941AB">
        <w:rPr>
          <w:rFonts w:ascii="Times New Roman" w:hAnsi="Times New Roman" w:cs="Times New Roman"/>
        </w:rPr>
        <w:t>assistance. Technical assistance pertains to NHA providing project packaging</w:t>
      </w:r>
      <w:r>
        <w:rPr>
          <w:rFonts w:ascii="Times New Roman" w:hAnsi="Times New Roman" w:cs="Times New Roman"/>
        </w:rPr>
        <w:t xml:space="preserve"> </w:t>
      </w:r>
      <w:r w:rsidRPr="00A941AB">
        <w:rPr>
          <w:rFonts w:ascii="Times New Roman" w:hAnsi="Times New Roman" w:cs="Times New Roman"/>
        </w:rPr>
        <w:t>and engineering works (e.g. survey) and assisting in marketing. The assistance</w:t>
      </w:r>
      <w:r>
        <w:rPr>
          <w:rFonts w:ascii="Times New Roman" w:hAnsi="Times New Roman" w:cs="Times New Roman"/>
        </w:rPr>
        <w:t xml:space="preserve"> </w:t>
      </w:r>
      <w:r w:rsidRPr="00A941AB">
        <w:rPr>
          <w:rFonts w:ascii="Times New Roman" w:hAnsi="Times New Roman" w:cs="Times New Roman"/>
        </w:rPr>
        <w:t>also includes an extension of financial accommodation to the partners of the</w:t>
      </w:r>
      <w:r>
        <w:rPr>
          <w:rFonts w:ascii="Times New Roman" w:hAnsi="Times New Roman" w:cs="Times New Roman"/>
        </w:rPr>
        <w:t xml:space="preserve"> </w:t>
      </w:r>
      <w:r w:rsidRPr="00A941AB">
        <w:rPr>
          <w:rFonts w:ascii="Times New Roman" w:hAnsi="Times New Roman" w:cs="Times New Roman"/>
        </w:rPr>
        <w:t>program such as bridge financing, purchase commitment line with the NHMFC on</w:t>
      </w:r>
      <w:r>
        <w:rPr>
          <w:rFonts w:ascii="Times New Roman" w:hAnsi="Times New Roman" w:cs="Times New Roman"/>
        </w:rPr>
        <w:t xml:space="preserve"> </w:t>
      </w:r>
      <w:r w:rsidRPr="00A941AB">
        <w:rPr>
          <w:rFonts w:ascii="Times New Roman" w:hAnsi="Times New Roman" w:cs="Times New Roman"/>
        </w:rPr>
        <w:t>buyer’s financing and facilitation for developmental financing.</w:t>
      </w:r>
      <w:r>
        <w:rPr>
          <w:rFonts w:ascii="Times New Roman" w:hAnsi="Times New Roman" w:cs="Times New Roman"/>
        </w:rPr>
        <w:t xml:space="preserve"> </w:t>
      </w:r>
      <w:r w:rsidRPr="00A941AB">
        <w:rPr>
          <w:rFonts w:ascii="Times New Roman" w:hAnsi="Times New Roman" w:cs="Times New Roman"/>
        </w:rPr>
        <w:t>Moreover, NHA</w:t>
      </w:r>
      <w:r>
        <w:rPr>
          <w:rFonts w:ascii="Times New Roman" w:hAnsi="Times New Roman" w:cs="Times New Roman"/>
        </w:rPr>
        <w:t xml:space="preserve"> </w:t>
      </w:r>
      <w:r w:rsidRPr="00A941AB">
        <w:rPr>
          <w:rFonts w:ascii="Times New Roman" w:hAnsi="Times New Roman" w:cs="Times New Roman"/>
        </w:rPr>
        <w:t>also facilitates transactions related to other government agencies such as</w:t>
      </w:r>
      <w:r>
        <w:rPr>
          <w:rFonts w:ascii="Times New Roman" w:hAnsi="Times New Roman" w:cs="Times New Roman"/>
        </w:rPr>
        <w:t xml:space="preserve"> </w:t>
      </w:r>
      <w:r w:rsidRPr="00A941AB">
        <w:rPr>
          <w:rFonts w:ascii="Times New Roman" w:hAnsi="Times New Roman" w:cs="Times New Roman"/>
        </w:rPr>
        <w:t>securing land conversion clearance, approval of permits and licenses and the</w:t>
      </w:r>
      <w:r>
        <w:rPr>
          <w:rFonts w:ascii="Times New Roman" w:hAnsi="Times New Roman" w:cs="Times New Roman"/>
        </w:rPr>
        <w:t xml:space="preserve"> </w:t>
      </w:r>
      <w:r w:rsidRPr="00A941AB">
        <w:rPr>
          <w:rFonts w:ascii="Times New Roman" w:hAnsi="Times New Roman" w:cs="Times New Roman"/>
        </w:rPr>
        <w:t>utilities companies.</w:t>
      </w:r>
      <w:r>
        <w:rPr>
          <w:rFonts w:ascii="Times New Roman" w:hAnsi="Times New Roman" w:cs="Times New Roman"/>
        </w:rPr>
        <w:t xml:space="preserve"> </w:t>
      </w:r>
    </w:p>
    <w:p w:rsidR="009611F0" w:rsidRPr="00A941AB" w:rsidRDefault="009611F0" w:rsidP="009611F0">
      <w:pPr>
        <w:spacing w:after="0"/>
        <w:jc w:val="both"/>
        <w:rPr>
          <w:rFonts w:ascii="Times New Roman" w:hAnsi="Times New Roman" w:cs="Times New Roman"/>
        </w:rPr>
      </w:pPr>
    </w:p>
    <w:p w:rsidR="009611F0" w:rsidRDefault="009611F0" w:rsidP="009611F0">
      <w:pPr>
        <w:spacing w:after="0"/>
        <w:ind w:left="2268"/>
        <w:jc w:val="both"/>
        <w:rPr>
          <w:rFonts w:ascii="Times New Roman" w:hAnsi="Times New Roman" w:cs="Times New Roman"/>
        </w:rPr>
      </w:pPr>
      <w:r w:rsidRPr="00A941AB">
        <w:rPr>
          <w:rFonts w:ascii="Times New Roman" w:hAnsi="Times New Roman" w:cs="Times New Roman"/>
        </w:rPr>
        <w:t>It is noted that “technical assistance” has become a standard provision for</w:t>
      </w:r>
      <w:r>
        <w:rPr>
          <w:rFonts w:ascii="Times New Roman" w:hAnsi="Times New Roman" w:cs="Times New Roman"/>
        </w:rPr>
        <w:t xml:space="preserve"> </w:t>
      </w:r>
      <w:r w:rsidRPr="00A941AB">
        <w:rPr>
          <w:rFonts w:ascii="Times New Roman" w:hAnsi="Times New Roman" w:cs="Times New Roman"/>
        </w:rPr>
        <w:t>all types of venture arrangement.</w:t>
      </w:r>
      <w:r>
        <w:rPr>
          <w:rFonts w:ascii="Times New Roman" w:hAnsi="Times New Roman" w:cs="Times New Roman"/>
        </w:rPr>
        <w:t xml:space="preserve"> </w:t>
      </w:r>
      <w:r w:rsidR="00DD2D9E">
        <w:rPr>
          <w:rFonts w:ascii="Times New Roman" w:hAnsi="Times New Roman" w:cs="Times New Roman"/>
        </w:rPr>
        <w:t>This mechanism at times</w:t>
      </w:r>
      <w:r w:rsidRPr="00A941AB">
        <w:rPr>
          <w:rFonts w:ascii="Times New Roman" w:hAnsi="Times New Roman" w:cs="Times New Roman"/>
        </w:rPr>
        <w:t xml:space="preserve"> delays in release of payment from NHMFC and in finding the beneficiary</w:t>
      </w:r>
      <w:r>
        <w:rPr>
          <w:rFonts w:ascii="Times New Roman" w:hAnsi="Times New Roman" w:cs="Times New Roman"/>
        </w:rPr>
        <w:t xml:space="preserve"> </w:t>
      </w:r>
      <w:r w:rsidRPr="00A941AB">
        <w:rPr>
          <w:rFonts w:ascii="Times New Roman" w:hAnsi="Times New Roman" w:cs="Times New Roman"/>
        </w:rPr>
        <w:t xml:space="preserve">that will qualify for </w:t>
      </w:r>
      <w:r w:rsidR="00DD2D9E">
        <w:rPr>
          <w:rFonts w:ascii="Times New Roman" w:hAnsi="Times New Roman" w:cs="Times New Roman"/>
        </w:rPr>
        <w:t>mortgage financing under NHMFC. The</w:t>
      </w:r>
      <w:r w:rsidRPr="00A941AB">
        <w:rPr>
          <w:rFonts w:ascii="Times New Roman" w:hAnsi="Times New Roman" w:cs="Times New Roman"/>
        </w:rPr>
        <w:t xml:space="preserve"> technical assistance</w:t>
      </w:r>
      <w:r>
        <w:rPr>
          <w:rFonts w:ascii="Times New Roman" w:hAnsi="Times New Roman" w:cs="Times New Roman"/>
        </w:rPr>
        <w:t xml:space="preserve"> </w:t>
      </w:r>
      <w:r w:rsidRPr="00A941AB">
        <w:rPr>
          <w:rFonts w:ascii="Times New Roman" w:hAnsi="Times New Roman" w:cs="Times New Roman"/>
        </w:rPr>
        <w:t>provided by the NHA</w:t>
      </w:r>
      <w:r w:rsidR="00DD2D9E">
        <w:rPr>
          <w:rFonts w:ascii="Times New Roman" w:hAnsi="Times New Roman" w:cs="Times New Roman"/>
        </w:rPr>
        <w:t>, however,</w:t>
      </w:r>
      <w:r w:rsidRPr="00A941AB">
        <w:rPr>
          <w:rFonts w:ascii="Times New Roman" w:hAnsi="Times New Roman" w:cs="Times New Roman"/>
        </w:rPr>
        <w:t xml:space="preserve"> significantly reduces the transaction costs of the private</w:t>
      </w:r>
      <w:r>
        <w:rPr>
          <w:rFonts w:ascii="Times New Roman" w:hAnsi="Times New Roman" w:cs="Times New Roman"/>
        </w:rPr>
        <w:t xml:space="preserve"> </w:t>
      </w:r>
      <w:r w:rsidRPr="00A941AB">
        <w:rPr>
          <w:rFonts w:ascii="Times New Roman" w:hAnsi="Times New Roman" w:cs="Times New Roman"/>
        </w:rPr>
        <w:t>sector. These costs are often not reflected in the sharing of profits because such</w:t>
      </w:r>
      <w:r>
        <w:rPr>
          <w:rFonts w:ascii="Times New Roman" w:hAnsi="Times New Roman" w:cs="Times New Roman"/>
        </w:rPr>
        <w:t xml:space="preserve"> </w:t>
      </w:r>
      <w:r w:rsidRPr="00A941AB">
        <w:rPr>
          <w:rFonts w:ascii="Times New Roman" w:hAnsi="Times New Roman" w:cs="Times New Roman"/>
        </w:rPr>
        <w:t>costs are mostly translated in terms of time. For instance, it takes an average of</w:t>
      </w:r>
      <w:r>
        <w:rPr>
          <w:rFonts w:ascii="Times New Roman" w:hAnsi="Times New Roman" w:cs="Times New Roman"/>
        </w:rPr>
        <w:t xml:space="preserve"> </w:t>
      </w:r>
      <w:r w:rsidRPr="00A941AB">
        <w:rPr>
          <w:rFonts w:ascii="Times New Roman" w:hAnsi="Times New Roman" w:cs="Times New Roman"/>
        </w:rPr>
        <w:t>one year to obtain approval of permits and licenses.</w:t>
      </w:r>
      <w:r>
        <w:rPr>
          <w:rFonts w:ascii="Times New Roman" w:hAnsi="Times New Roman" w:cs="Times New Roman"/>
        </w:rPr>
        <w:t xml:space="preserve"> </w:t>
      </w:r>
      <w:r w:rsidRPr="00A941AB">
        <w:rPr>
          <w:rFonts w:ascii="Times New Roman" w:hAnsi="Times New Roman" w:cs="Times New Roman"/>
        </w:rPr>
        <w:t>It takes another year</w:t>
      </w:r>
      <w:r>
        <w:rPr>
          <w:rFonts w:ascii="Times New Roman" w:hAnsi="Times New Roman" w:cs="Times New Roman"/>
        </w:rPr>
        <w:t xml:space="preserve"> </w:t>
      </w:r>
      <w:r w:rsidRPr="00A941AB">
        <w:rPr>
          <w:rFonts w:ascii="Times New Roman" w:hAnsi="Times New Roman" w:cs="Times New Roman"/>
        </w:rPr>
        <w:t xml:space="preserve">before beneficiaries’ loans can be released or taken out by the NHMFC. The </w:t>
      </w:r>
      <w:r>
        <w:rPr>
          <w:rFonts w:ascii="Times New Roman" w:hAnsi="Times New Roman" w:cs="Times New Roman"/>
        </w:rPr>
        <w:t>availability</w:t>
      </w:r>
      <w:r w:rsidRPr="00A941AB">
        <w:rPr>
          <w:rFonts w:ascii="Times New Roman" w:hAnsi="Times New Roman" w:cs="Times New Roman"/>
        </w:rPr>
        <w:t xml:space="preserve"> of bridge financing and access to the commitment line of NHA with </w:t>
      </w:r>
      <w:r>
        <w:rPr>
          <w:rFonts w:ascii="Times New Roman" w:hAnsi="Times New Roman" w:cs="Times New Roman"/>
        </w:rPr>
        <w:t>the</w:t>
      </w:r>
      <w:r w:rsidRPr="00A941AB">
        <w:rPr>
          <w:rFonts w:ascii="Times New Roman" w:hAnsi="Times New Roman" w:cs="Times New Roman"/>
        </w:rPr>
        <w:t xml:space="preserve"> NHMFC thus reduces the opportunity costs resulting from these delays.</w:t>
      </w:r>
      <w:r>
        <w:rPr>
          <w:rFonts w:ascii="Times New Roman" w:hAnsi="Times New Roman" w:cs="Times New Roman"/>
        </w:rPr>
        <w:t xml:space="preserve"> </w:t>
      </w:r>
      <w:r w:rsidRPr="00A941AB">
        <w:rPr>
          <w:rFonts w:ascii="Times New Roman" w:hAnsi="Times New Roman" w:cs="Times New Roman"/>
        </w:rPr>
        <w:t>Clearly, the attractiveness of joint ventures mainly emanates from the provision</w:t>
      </w:r>
      <w:r>
        <w:rPr>
          <w:rFonts w:ascii="Times New Roman" w:hAnsi="Times New Roman" w:cs="Times New Roman"/>
        </w:rPr>
        <w:t xml:space="preserve"> </w:t>
      </w:r>
      <w:r w:rsidRPr="00A941AB">
        <w:rPr>
          <w:rFonts w:ascii="Times New Roman" w:hAnsi="Times New Roman" w:cs="Times New Roman"/>
        </w:rPr>
        <w:t xml:space="preserve">of technical assistance for the bureaucratic problems. However, these </w:t>
      </w:r>
      <w:r>
        <w:rPr>
          <w:rFonts w:ascii="Times New Roman" w:hAnsi="Times New Roman" w:cs="Times New Roman"/>
        </w:rPr>
        <w:lastRenderedPageBreak/>
        <w:t>bureaucratic</w:t>
      </w:r>
      <w:r w:rsidRPr="00A941AB">
        <w:rPr>
          <w:rFonts w:ascii="Times New Roman" w:hAnsi="Times New Roman" w:cs="Times New Roman"/>
        </w:rPr>
        <w:t xml:space="preserve"> problems are institutional issues and unless these issues are</w:t>
      </w:r>
      <w:r>
        <w:rPr>
          <w:rFonts w:ascii="Times New Roman" w:hAnsi="Times New Roman" w:cs="Times New Roman"/>
        </w:rPr>
        <w:t xml:space="preserve"> </w:t>
      </w:r>
      <w:r w:rsidRPr="00A941AB">
        <w:rPr>
          <w:rFonts w:ascii="Times New Roman" w:hAnsi="Times New Roman" w:cs="Times New Roman"/>
        </w:rPr>
        <w:t>addressed, investments in low-cost housing will remain</w:t>
      </w:r>
      <w:r w:rsidR="00B32535">
        <w:rPr>
          <w:rFonts w:ascii="Times New Roman" w:hAnsi="Times New Roman" w:cs="Times New Roman"/>
        </w:rPr>
        <w:t xml:space="preserve"> less </w:t>
      </w:r>
      <w:r w:rsidRPr="00A941AB">
        <w:rPr>
          <w:rFonts w:ascii="Times New Roman" w:hAnsi="Times New Roman" w:cs="Times New Roman"/>
        </w:rPr>
        <w:t xml:space="preserve">attractive. </w:t>
      </w:r>
    </w:p>
    <w:p w:rsidR="009611F0" w:rsidRPr="00A941AB" w:rsidRDefault="009611F0" w:rsidP="009611F0">
      <w:pPr>
        <w:spacing w:after="0"/>
        <w:jc w:val="both"/>
        <w:rPr>
          <w:rFonts w:ascii="Times New Roman" w:hAnsi="Times New Roman" w:cs="Times New Roman"/>
        </w:rPr>
      </w:pPr>
    </w:p>
    <w:p w:rsidR="009611F0" w:rsidRDefault="009611F0" w:rsidP="009611F0">
      <w:pPr>
        <w:spacing w:after="0"/>
        <w:ind w:left="2268"/>
        <w:jc w:val="both"/>
        <w:rPr>
          <w:rFonts w:ascii="Times New Roman" w:hAnsi="Times New Roman" w:cs="Times New Roman"/>
        </w:rPr>
      </w:pPr>
      <w:r w:rsidRPr="00A941AB">
        <w:rPr>
          <w:rFonts w:ascii="Times New Roman" w:hAnsi="Times New Roman" w:cs="Times New Roman"/>
        </w:rPr>
        <w:t>Technical Assistance</w:t>
      </w:r>
      <w:r w:rsidR="00F74387">
        <w:rPr>
          <w:rFonts w:ascii="Times New Roman" w:hAnsi="Times New Roman" w:cs="Times New Roman"/>
        </w:rPr>
        <w:t xml:space="preserve"> (TA)</w:t>
      </w:r>
      <w:r w:rsidRPr="00A941AB">
        <w:rPr>
          <w:rFonts w:ascii="Times New Roman" w:hAnsi="Times New Roman" w:cs="Times New Roman"/>
        </w:rPr>
        <w:t xml:space="preserve"> pertains to NHA</w:t>
      </w:r>
      <w:r>
        <w:rPr>
          <w:rFonts w:ascii="Times New Roman" w:hAnsi="Times New Roman" w:cs="Times New Roman"/>
        </w:rPr>
        <w:t xml:space="preserve"> </w:t>
      </w:r>
      <w:r w:rsidRPr="00A941AB">
        <w:rPr>
          <w:rFonts w:ascii="Times New Roman" w:hAnsi="Times New Roman" w:cs="Times New Roman"/>
        </w:rPr>
        <w:t>assistance in project packaging</w:t>
      </w:r>
      <w:r>
        <w:rPr>
          <w:rFonts w:ascii="Times New Roman" w:hAnsi="Times New Roman" w:cs="Times New Roman"/>
        </w:rPr>
        <w:t xml:space="preserve"> </w:t>
      </w:r>
      <w:r w:rsidRPr="00A941AB">
        <w:rPr>
          <w:rFonts w:ascii="Times New Roman" w:hAnsi="Times New Roman" w:cs="Times New Roman"/>
        </w:rPr>
        <w:t>and engineering works. This also includes</w:t>
      </w:r>
      <w:r>
        <w:rPr>
          <w:rFonts w:ascii="Times New Roman" w:hAnsi="Times New Roman" w:cs="Times New Roman"/>
        </w:rPr>
        <w:t xml:space="preserve"> </w:t>
      </w:r>
      <w:r w:rsidRPr="00A941AB">
        <w:rPr>
          <w:rFonts w:ascii="Times New Roman" w:hAnsi="Times New Roman" w:cs="Times New Roman"/>
        </w:rPr>
        <w:t>access to financial services of</w:t>
      </w:r>
      <w:r>
        <w:rPr>
          <w:rFonts w:ascii="Times New Roman" w:hAnsi="Times New Roman" w:cs="Times New Roman"/>
        </w:rPr>
        <w:t xml:space="preserve"> </w:t>
      </w:r>
      <w:r w:rsidRPr="00A941AB">
        <w:rPr>
          <w:rFonts w:ascii="Times New Roman" w:hAnsi="Times New Roman" w:cs="Times New Roman"/>
        </w:rPr>
        <w:t>gov't institutions, facilitating approval of permits and licenses</w:t>
      </w:r>
      <w:r w:rsidR="00F74387">
        <w:rPr>
          <w:rFonts w:ascii="Times New Roman" w:hAnsi="Times New Roman" w:cs="Times New Roman"/>
        </w:rPr>
        <w:t>. The TA also provides</w:t>
      </w:r>
      <w:r>
        <w:rPr>
          <w:rFonts w:ascii="Times New Roman" w:hAnsi="Times New Roman" w:cs="Times New Roman"/>
        </w:rPr>
        <w:t xml:space="preserve"> </w:t>
      </w:r>
      <w:r w:rsidRPr="00A941AB">
        <w:rPr>
          <w:rFonts w:ascii="Times New Roman" w:hAnsi="Times New Roman" w:cs="Times New Roman"/>
        </w:rPr>
        <w:t>marketing assistance</w:t>
      </w:r>
      <w:r>
        <w:rPr>
          <w:rFonts w:ascii="Times New Roman" w:hAnsi="Times New Roman" w:cs="Times New Roman"/>
        </w:rPr>
        <w:t xml:space="preserve"> </w:t>
      </w:r>
      <w:r w:rsidR="00F74387">
        <w:rPr>
          <w:rFonts w:ascii="Times New Roman" w:hAnsi="Times New Roman" w:cs="Times New Roman"/>
        </w:rPr>
        <w:t xml:space="preserve">to </w:t>
      </w:r>
      <w:r w:rsidRPr="00A941AB">
        <w:rPr>
          <w:rFonts w:ascii="Times New Roman" w:hAnsi="Times New Roman" w:cs="Times New Roman"/>
        </w:rPr>
        <w:t>strength</w:t>
      </w:r>
      <w:r w:rsidR="00F74387">
        <w:rPr>
          <w:rFonts w:ascii="Times New Roman" w:hAnsi="Times New Roman" w:cs="Times New Roman"/>
        </w:rPr>
        <w:t>en</w:t>
      </w:r>
      <w:r w:rsidRPr="00A941AB">
        <w:rPr>
          <w:rFonts w:ascii="Times New Roman" w:hAnsi="Times New Roman" w:cs="Times New Roman"/>
        </w:rPr>
        <w:t xml:space="preserve"> joint venture</w:t>
      </w:r>
      <w:r w:rsidR="00F74387">
        <w:rPr>
          <w:rFonts w:ascii="Times New Roman" w:hAnsi="Times New Roman" w:cs="Times New Roman"/>
        </w:rPr>
        <w:t>.</w:t>
      </w:r>
      <w:r w:rsidRPr="00A941AB">
        <w:rPr>
          <w:rFonts w:ascii="Times New Roman" w:hAnsi="Times New Roman" w:cs="Times New Roman"/>
        </w:rPr>
        <w:t xml:space="preserve"> </w:t>
      </w:r>
      <w:proofErr w:type="spellStart"/>
      <w:r w:rsidR="00F74387">
        <w:rPr>
          <w:rFonts w:ascii="Times New Roman" w:hAnsi="Times New Roman" w:cs="Times New Roman"/>
        </w:rPr>
        <w:t>T</w:t>
      </w:r>
      <w:r w:rsidRPr="00A941AB">
        <w:rPr>
          <w:rFonts w:ascii="Times New Roman" w:hAnsi="Times New Roman" w:cs="Times New Roman"/>
        </w:rPr>
        <w:t>hust</w:t>
      </w:r>
      <w:proofErr w:type="spellEnd"/>
      <w:r w:rsidRPr="00A941AB">
        <w:rPr>
          <w:rFonts w:ascii="Times New Roman" w:hAnsi="Times New Roman" w:cs="Times New Roman"/>
        </w:rPr>
        <w:t xml:space="preserve"> NHA has been able to</w:t>
      </w:r>
      <w:r>
        <w:rPr>
          <w:rFonts w:ascii="Times New Roman" w:hAnsi="Times New Roman" w:cs="Times New Roman"/>
        </w:rPr>
        <w:t xml:space="preserve"> </w:t>
      </w:r>
      <w:r w:rsidR="00F74387">
        <w:rPr>
          <w:rFonts w:ascii="Times New Roman" w:hAnsi="Times New Roman" w:cs="Times New Roman"/>
        </w:rPr>
        <w:t>facilitate developments of the</w:t>
      </w:r>
      <w:r w:rsidRPr="00A941AB">
        <w:rPr>
          <w:rFonts w:ascii="Times New Roman" w:hAnsi="Times New Roman" w:cs="Times New Roman"/>
        </w:rPr>
        <w:t xml:space="preserve"> land as the private sector infuses investments into</w:t>
      </w:r>
      <w:r>
        <w:rPr>
          <w:rFonts w:ascii="Times New Roman" w:hAnsi="Times New Roman" w:cs="Times New Roman"/>
        </w:rPr>
        <w:t xml:space="preserve"> </w:t>
      </w:r>
      <w:r w:rsidRPr="00A941AB">
        <w:rPr>
          <w:rFonts w:ascii="Times New Roman" w:hAnsi="Times New Roman" w:cs="Times New Roman"/>
        </w:rPr>
        <w:t>the</w:t>
      </w:r>
      <w:r w:rsidR="00F74387">
        <w:rPr>
          <w:rFonts w:ascii="Times New Roman" w:hAnsi="Times New Roman" w:cs="Times New Roman"/>
        </w:rPr>
        <w:t xml:space="preserve"> project. This benefit</w:t>
      </w:r>
      <w:r w:rsidRPr="00A941AB">
        <w:rPr>
          <w:rFonts w:ascii="Times New Roman" w:hAnsi="Times New Roman" w:cs="Times New Roman"/>
        </w:rPr>
        <w:t xml:space="preserve"> is outweighed by the cost and risk to </w:t>
      </w:r>
      <w:r>
        <w:rPr>
          <w:rFonts w:ascii="Times New Roman" w:hAnsi="Times New Roman" w:cs="Times New Roman"/>
        </w:rPr>
        <w:t>government</w:t>
      </w:r>
      <w:r w:rsidRPr="00A941AB">
        <w:rPr>
          <w:rFonts w:ascii="Times New Roman" w:hAnsi="Times New Roman" w:cs="Times New Roman"/>
        </w:rPr>
        <w:t>.</w:t>
      </w:r>
      <w:r>
        <w:rPr>
          <w:rFonts w:ascii="Times New Roman" w:hAnsi="Times New Roman" w:cs="Times New Roman"/>
        </w:rPr>
        <w:t xml:space="preserve"> </w:t>
      </w:r>
      <w:r w:rsidRPr="00A941AB">
        <w:rPr>
          <w:rFonts w:ascii="Times New Roman" w:hAnsi="Times New Roman" w:cs="Times New Roman"/>
        </w:rPr>
        <w:t xml:space="preserve">First, NHA </w:t>
      </w:r>
      <w:r w:rsidR="00F74387">
        <w:rPr>
          <w:rFonts w:ascii="Times New Roman" w:hAnsi="Times New Roman" w:cs="Times New Roman"/>
        </w:rPr>
        <w:t>does</w:t>
      </w:r>
      <w:r w:rsidRPr="00A941AB">
        <w:rPr>
          <w:rFonts w:ascii="Times New Roman" w:hAnsi="Times New Roman" w:cs="Times New Roman"/>
        </w:rPr>
        <w:t xml:space="preserve"> the feasibility study, </w:t>
      </w:r>
      <w:r>
        <w:rPr>
          <w:rFonts w:ascii="Times New Roman" w:hAnsi="Times New Roman" w:cs="Times New Roman"/>
        </w:rPr>
        <w:t>packaging</w:t>
      </w:r>
      <w:r w:rsidRPr="00A941AB">
        <w:rPr>
          <w:rFonts w:ascii="Times New Roman" w:hAnsi="Times New Roman" w:cs="Times New Roman"/>
        </w:rPr>
        <w:t xml:space="preserve"> and finalizing </w:t>
      </w:r>
      <w:r w:rsidR="00F74387">
        <w:rPr>
          <w:rFonts w:ascii="Times New Roman" w:hAnsi="Times New Roman" w:cs="Times New Roman"/>
        </w:rPr>
        <w:t>of the project, which it later</w:t>
      </w:r>
      <w:r w:rsidRPr="00A941AB">
        <w:rPr>
          <w:rFonts w:ascii="Times New Roman" w:hAnsi="Times New Roman" w:cs="Times New Roman"/>
        </w:rPr>
        <w:t xml:space="preserve"> approves. Second, since NHA</w:t>
      </w:r>
      <w:r>
        <w:rPr>
          <w:rFonts w:ascii="Times New Roman" w:hAnsi="Times New Roman" w:cs="Times New Roman"/>
        </w:rPr>
        <w:t xml:space="preserve"> </w:t>
      </w:r>
      <w:r w:rsidR="00F74387">
        <w:rPr>
          <w:rFonts w:ascii="Times New Roman" w:hAnsi="Times New Roman" w:cs="Times New Roman"/>
        </w:rPr>
        <w:t>has a role</w:t>
      </w:r>
      <w:r w:rsidRPr="00A941AB">
        <w:rPr>
          <w:rFonts w:ascii="Times New Roman" w:hAnsi="Times New Roman" w:cs="Times New Roman"/>
        </w:rPr>
        <w:t xml:space="preserve"> in reviewing the mortgage take-out before submitting to the NHMFC,</w:t>
      </w:r>
      <w:r>
        <w:rPr>
          <w:rFonts w:ascii="Times New Roman" w:hAnsi="Times New Roman" w:cs="Times New Roman"/>
        </w:rPr>
        <w:t xml:space="preserve"> </w:t>
      </w:r>
      <w:r w:rsidRPr="00A941AB">
        <w:rPr>
          <w:rFonts w:ascii="Times New Roman" w:hAnsi="Times New Roman" w:cs="Times New Roman"/>
        </w:rPr>
        <w:t>it also shares in the accountability for accounts in default.</w:t>
      </w:r>
      <w:r>
        <w:rPr>
          <w:rFonts w:ascii="Times New Roman" w:hAnsi="Times New Roman" w:cs="Times New Roman"/>
        </w:rPr>
        <w:t xml:space="preserve"> </w:t>
      </w:r>
      <w:r w:rsidRPr="00A941AB">
        <w:rPr>
          <w:rFonts w:ascii="Times New Roman" w:hAnsi="Times New Roman" w:cs="Times New Roman"/>
        </w:rPr>
        <w:t xml:space="preserve">Third, NHA also takes </w:t>
      </w:r>
      <w:r>
        <w:rPr>
          <w:rFonts w:ascii="Times New Roman" w:hAnsi="Times New Roman" w:cs="Times New Roman"/>
        </w:rPr>
        <w:t>responsibility</w:t>
      </w:r>
      <w:r w:rsidRPr="00A941AB">
        <w:rPr>
          <w:rFonts w:ascii="Times New Roman" w:hAnsi="Times New Roman" w:cs="Times New Roman"/>
        </w:rPr>
        <w:t xml:space="preserve"> in cases when delays are caused by changes in policy of other </w:t>
      </w:r>
      <w:r>
        <w:rPr>
          <w:rFonts w:ascii="Times New Roman" w:hAnsi="Times New Roman" w:cs="Times New Roman"/>
        </w:rPr>
        <w:t>shelter</w:t>
      </w:r>
      <w:r w:rsidRPr="00A941AB">
        <w:rPr>
          <w:rFonts w:ascii="Times New Roman" w:hAnsi="Times New Roman" w:cs="Times New Roman"/>
        </w:rPr>
        <w:t xml:space="preserve"> agencies. NHA has no control over the other agencies.</w:t>
      </w:r>
      <w:r>
        <w:rPr>
          <w:rFonts w:ascii="Times New Roman" w:hAnsi="Times New Roman" w:cs="Times New Roman"/>
        </w:rPr>
        <w:t xml:space="preserve"> </w:t>
      </w:r>
      <w:r w:rsidRPr="00A941AB">
        <w:rPr>
          <w:rFonts w:ascii="Times New Roman" w:hAnsi="Times New Roman" w:cs="Times New Roman"/>
        </w:rPr>
        <w:t xml:space="preserve">Fourth, in the </w:t>
      </w:r>
      <w:r>
        <w:rPr>
          <w:rFonts w:ascii="Times New Roman" w:hAnsi="Times New Roman" w:cs="Times New Roman"/>
        </w:rPr>
        <w:t>event</w:t>
      </w:r>
      <w:r w:rsidRPr="00A941AB">
        <w:rPr>
          <w:rFonts w:ascii="Times New Roman" w:hAnsi="Times New Roman" w:cs="Times New Roman"/>
        </w:rPr>
        <w:t xml:space="preserve"> that the partner is unable to collect from NHMFC, NHA also suffers from </w:t>
      </w:r>
      <w:r>
        <w:rPr>
          <w:rFonts w:ascii="Times New Roman" w:hAnsi="Times New Roman" w:cs="Times New Roman"/>
        </w:rPr>
        <w:t>defaults</w:t>
      </w:r>
      <w:r w:rsidRPr="00A941AB">
        <w:rPr>
          <w:rFonts w:ascii="Times New Roman" w:hAnsi="Times New Roman" w:cs="Times New Roman"/>
        </w:rPr>
        <w:t xml:space="preserve"> from the bridge financing it has provided. </w:t>
      </w:r>
    </w:p>
    <w:p w:rsidR="009611F0" w:rsidRPr="00A941AB" w:rsidRDefault="009611F0" w:rsidP="009611F0">
      <w:pPr>
        <w:spacing w:after="0"/>
        <w:jc w:val="both"/>
        <w:rPr>
          <w:rFonts w:ascii="Times New Roman" w:hAnsi="Times New Roman" w:cs="Times New Roman"/>
        </w:rPr>
      </w:pPr>
    </w:p>
    <w:p w:rsidR="009611F0" w:rsidRDefault="009611F0" w:rsidP="009611F0">
      <w:pPr>
        <w:spacing w:after="0"/>
        <w:ind w:left="2268"/>
        <w:jc w:val="both"/>
        <w:rPr>
          <w:rFonts w:ascii="Times New Roman" w:hAnsi="Times New Roman" w:cs="Times New Roman"/>
        </w:rPr>
      </w:pPr>
      <w:r w:rsidRPr="00A941AB">
        <w:rPr>
          <w:rFonts w:ascii="Times New Roman" w:hAnsi="Times New Roman" w:cs="Times New Roman"/>
        </w:rPr>
        <w:t>Private Sector Socialized Housing Developments</w:t>
      </w:r>
    </w:p>
    <w:p w:rsidR="009611F0" w:rsidRPr="00A941AB" w:rsidRDefault="009611F0" w:rsidP="009611F0">
      <w:pPr>
        <w:spacing w:after="0"/>
        <w:jc w:val="both"/>
        <w:rPr>
          <w:rFonts w:ascii="Times New Roman" w:hAnsi="Times New Roman" w:cs="Times New Roman"/>
        </w:rPr>
      </w:pPr>
    </w:p>
    <w:p w:rsidR="009611F0" w:rsidRDefault="009611F0" w:rsidP="009611F0">
      <w:pPr>
        <w:spacing w:after="0"/>
        <w:ind w:left="2268"/>
        <w:jc w:val="both"/>
        <w:rPr>
          <w:rFonts w:ascii="Times New Roman" w:hAnsi="Times New Roman" w:cs="Times New Roman"/>
        </w:rPr>
      </w:pPr>
      <w:r w:rsidRPr="00A941AB">
        <w:rPr>
          <w:rFonts w:ascii="Times New Roman" w:hAnsi="Times New Roman" w:cs="Times New Roman"/>
        </w:rPr>
        <w:t xml:space="preserve">Prior to the 1990s, the government has been the main developer of </w:t>
      </w:r>
      <w:r>
        <w:rPr>
          <w:rFonts w:ascii="Times New Roman" w:hAnsi="Times New Roman" w:cs="Times New Roman"/>
        </w:rPr>
        <w:t>socialized</w:t>
      </w:r>
      <w:r w:rsidRPr="00A941AB">
        <w:rPr>
          <w:rFonts w:ascii="Times New Roman" w:hAnsi="Times New Roman" w:cs="Times New Roman"/>
        </w:rPr>
        <w:t xml:space="preserve"> housing</w:t>
      </w:r>
      <w:r w:rsidR="007A4345">
        <w:rPr>
          <w:rFonts w:ascii="Times New Roman" w:hAnsi="Times New Roman" w:cs="Times New Roman"/>
        </w:rPr>
        <w:t xml:space="preserve"> (generally called Social Housing Segment)</w:t>
      </w:r>
      <w:r w:rsidRPr="00A941AB">
        <w:rPr>
          <w:rFonts w:ascii="Times New Roman" w:hAnsi="Times New Roman" w:cs="Times New Roman"/>
        </w:rPr>
        <w:t xml:space="preserve">, i.e., house and lot packages with maximum selling price </w:t>
      </w:r>
      <w:r w:rsidR="007A4345" w:rsidRPr="00A941AB">
        <w:rPr>
          <w:rFonts w:ascii="Times New Roman" w:hAnsi="Times New Roman" w:cs="Times New Roman"/>
        </w:rPr>
        <w:t xml:space="preserve">of </w:t>
      </w:r>
      <w:r w:rsidR="007A4345">
        <w:rPr>
          <w:rFonts w:ascii="Times New Roman" w:hAnsi="Times New Roman" w:cs="Times New Roman"/>
        </w:rPr>
        <w:t>P150</w:t>
      </w:r>
      <w:proofErr w:type="gramStart"/>
      <w:r w:rsidR="007A4345">
        <w:rPr>
          <w:rFonts w:ascii="Times New Roman" w:hAnsi="Times New Roman" w:cs="Times New Roman"/>
        </w:rPr>
        <w:t>,000</w:t>
      </w:r>
      <w:proofErr w:type="gramEnd"/>
      <w:r w:rsidRPr="00A941AB">
        <w:rPr>
          <w:rFonts w:ascii="Times New Roman" w:hAnsi="Times New Roman" w:cs="Times New Roman"/>
        </w:rPr>
        <w:t xml:space="preserve">. There were a few private sector developers who ventured into </w:t>
      </w:r>
      <w:r>
        <w:rPr>
          <w:rFonts w:ascii="Times New Roman" w:hAnsi="Times New Roman" w:cs="Times New Roman"/>
        </w:rPr>
        <w:t>economic</w:t>
      </w:r>
      <w:r w:rsidRPr="00A941AB">
        <w:rPr>
          <w:rFonts w:ascii="Times New Roman" w:hAnsi="Times New Roman" w:cs="Times New Roman"/>
        </w:rPr>
        <w:t xml:space="preserve"> housing</w:t>
      </w:r>
      <w:r w:rsidR="007A4345">
        <w:rPr>
          <w:rFonts w:ascii="Times New Roman" w:hAnsi="Times New Roman" w:cs="Times New Roman"/>
        </w:rPr>
        <w:t xml:space="preserve"> Table-11</w:t>
      </w:r>
      <w:r w:rsidRPr="00A941AB">
        <w:rPr>
          <w:rFonts w:ascii="Times New Roman" w:hAnsi="Times New Roman" w:cs="Times New Roman"/>
        </w:rPr>
        <w:t xml:space="preserve"> (houses with selling price above P150</w:t>
      </w:r>
      <w:proofErr w:type="gramStart"/>
      <w:r w:rsidRPr="00A941AB">
        <w:rPr>
          <w:rFonts w:ascii="Times New Roman" w:hAnsi="Times New Roman" w:cs="Times New Roman"/>
        </w:rPr>
        <w:t>,000</w:t>
      </w:r>
      <w:proofErr w:type="gramEnd"/>
      <w:r w:rsidRPr="00A941AB">
        <w:rPr>
          <w:rFonts w:ascii="Times New Roman" w:hAnsi="Times New Roman" w:cs="Times New Roman"/>
        </w:rPr>
        <w:t xml:space="preserve"> but not more than</w:t>
      </w:r>
      <w:r>
        <w:rPr>
          <w:rFonts w:ascii="Times New Roman" w:hAnsi="Times New Roman" w:cs="Times New Roman"/>
        </w:rPr>
        <w:t xml:space="preserve"> </w:t>
      </w:r>
      <w:r w:rsidRPr="00A941AB">
        <w:rPr>
          <w:rFonts w:ascii="Times New Roman" w:hAnsi="Times New Roman" w:cs="Times New Roman"/>
        </w:rPr>
        <w:t>P375,000</w:t>
      </w:r>
      <w:r w:rsidR="007A4345">
        <w:rPr>
          <w:rFonts w:ascii="Times New Roman" w:hAnsi="Times New Roman" w:cs="Times New Roman"/>
        </w:rPr>
        <w:t>, also called Market Housing Segment)</w:t>
      </w:r>
      <w:r w:rsidRPr="00A941AB">
        <w:rPr>
          <w:rFonts w:ascii="Times New Roman" w:hAnsi="Times New Roman" w:cs="Times New Roman"/>
        </w:rPr>
        <w:t>. After 1990, a</w:t>
      </w:r>
      <w:r>
        <w:rPr>
          <w:rFonts w:ascii="Times New Roman" w:hAnsi="Times New Roman" w:cs="Times New Roman"/>
        </w:rPr>
        <w:t xml:space="preserve"> </w:t>
      </w:r>
      <w:r w:rsidRPr="00A941AB">
        <w:rPr>
          <w:rFonts w:ascii="Times New Roman" w:hAnsi="Times New Roman" w:cs="Times New Roman"/>
        </w:rPr>
        <w:t>greater participation of private sector in socialized and economic housing</w:t>
      </w:r>
      <w:r>
        <w:rPr>
          <w:rFonts w:ascii="Times New Roman" w:hAnsi="Times New Roman" w:cs="Times New Roman"/>
        </w:rPr>
        <w:t xml:space="preserve"> </w:t>
      </w:r>
      <w:r w:rsidRPr="00A941AB">
        <w:rPr>
          <w:rFonts w:ascii="Times New Roman" w:hAnsi="Times New Roman" w:cs="Times New Roman"/>
        </w:rPr>
        <w:t xml:space="preserve">development is observed. Three factors may have contributed to this </w:t>
      </w:r>
      <w:r>
        <w:rPr>
          <w:rFonts w:ascii="Times New Roman" w:hAnsi="Times New Roman" w:cs="Times New Roman"/>
        </w:rPr>
        <w:t>development</w:t>
      </w:r>
      <w:r w:rsidRPr="00A941AB">
        <w:rPr>
          <w:rFonts w:ascii="Times New Roman" w:hAnsi="Times New Roman" w:cs="Times New Roman"/>
        </w:rPr>
        <w:t>:</w:t>
      </w:r>
      <w:r>
        <w:rPr>
          <w:rFonts w:ascii="Times New Roman" w:hAnsi="Times New Roman" w:cs="Times New Roman"/>
        </w:rPr>
        <w:t xml:space="preserve"> </w:t>
      </w:r>
      <w:r w:rsidR="007A4345">
        <w:rPr>
          <w:rFonts w:ascii="Times New Roman" w:hAnsi="Times New Roman" w:cs="Times New Roman"/>
        </w:rPr>
        <w:t>F</w:t>
      </w:r>
      <w:r w:rsidRPr="00A941AB">
        <w:rPr>
          <w:rFonts w:ascii="Times New Roman" w:hAnsi="Times New Roman" w:cs="Times New Roman"/>
        </w:rPr>
        <w:t>irst, the provision of tax incentives for low-income housing</w:t>
      </w:r>
      <w:r>
        <w:rPr>
          <w:rFonts w:ascii="Times New Roman" w:hAnsi="Times New Roman" w:cs="Times New Roman"/>
        </w:rPr>
        <w:t xml:space="preserve"> </w:t>
      </w:r>
      <w:r w:rsidRPr="00A941AB">
        <w:rPr>
          <w:rFonts w:ascii="Times New Roman" w:hAnsi="Times New Roman" w:cs="Times New Roman"/>
        </w:rPr>
        <w:t xml:space="preserve">development. </w:t>
      </w:r>
      <w:r w:rsidR="007A4345">
        <w:rPr>
          <w:rFonts w:ascii="Times New Roman" w:hAnsi="Times New Roman" w:cs="Times New Roman"/>
        </w:rPr>
        <w:t xml:space="preserve">The </w:t>
      </w:r>
      <w:r w:rsidRPr="00A941AB">
        <w:rPr>
          <w:rFonts w:ascii="Times New Roman" w:hAnsi="Times New Roman" w:cs="Times New Roman"/>
        </w:rPr>
        <w:t>Developers who engage in socialized housing developments have</w:t>
      </w:r>
      <w:r>
        <w:rPr>
          <w:rFonts w:ascii="Times New Roman" w:hAnsi="Times New Roman" w:cs="Times New Roman"/>
        </w:rPr>
        <w:t xml:space="preserve"> </w:t>
      </w:r>
      <w:r w:rsidRPr="00A941AB">
        <w:rPr>
          <w:rFonts w:ascii="Times New Roman" w:hAnsi="Times New Roman" w:cs="Times New Roman"/>
        </w:rPr>
        <w:t>been exempted from paying income taxes arising from these business ventures.</w:t>
      </w:r>
      <w:r>
        <w:rPr>
          <w:rFonts w:ascii="Times New Roman" w:hAnsi="Times New Roman" w:cs="Times New Roman"/>
        </w:rPr>
        <w:t xml:space="preserve"> </w:t>
      </w:r>
      <w:r w:rsidRPr="00A941AB">
        <w:rPr>
          <w:rFonts w:ascii="Times New Roman" w:hAnsi="Times New Roman" w:cs="Times New Roman"/>
        </w:rPr>
        <w:t xml:space="preserve">Second, the creation of a Unified Home Lending Program (UHLP) for end user </w:t>
      </w:r>
      <w:r>
        <w:rPr>
          <w:rFonts w:ascii="Times New Roman" w:hAnsi="Times New Roman" w:cs="Times New Roman"/>
        </w:rPr>
        <w:t>financing</w:t>
      </w:r>
      <w:r w:rsidRPr="00A941AB">
        <w:rPr>
          <w:rFonts w:ascii="Times New Roman" w:hAnsi="Times New Roman" w:cs="Times New Roman"/>
        </w:rPr>
        <w:t xml:space="preserve"> and provision of development finance at lower than market interest</w:t>
      </w:r>
      <w:r>
        <w:rPr>
          <w:rFonts w:ascii="Times New Roman" w:hAnsi="Times New Roman" w:cs="Times New Roman"/>
        </w:rPr>
        <w:t xml:space="preserve"> </w:t>
      </w:r>
      <w:r w:rsidRPr="00A941AB">
        <w:rPr>
          <w:rFonts w:ascii="Times New Roman" w:hAnsi="Times New Roman" w:cs="Times New Roman"/>
        </w:rPr>
        <w:t>rates.</w:t>
      </w:r>
      <w:r>
        <w:rPr>
          <w:rFonts w:ascii="Times New Roman" w:hAnsi="Times New Roman" w:cs="Times New Roman"/>
        </w:rPr>
        <w:t xml:space="preserve"> </w:t>
      </w:r>
      <w:r w:rsidRPr="00A941AB">
        <w:rPr>
          <w:rFonts w:ascii="Times New Roman" w:hAnsi="Times New Roman" w:cs="Times New Roman"/>
        </w:rPr>
        <w:t>Third, the enactment of the UDHA of 1992, which required private</w:t>
      </w:r>
      <w:r>
        <w:rPr>
          <w:rFonts w:ascii="Times New Roman" w:hAnsi="Times New Roman" w:cs="Times New Roman"/>
        </w:rPr>
        <w:t xml:space="preserve"> </w:t>
      </w:r>
      <w:r w:rsidRPr="00A941AB">
        <w:rPr>
          <w:rFonts w:ascii="Times New Roman" w:hAnsi="Times New Roman" w:cs="Times New Roman"/>
        </w:rPr>
        <w:t>developers to set aside 20% of the total project cost of non-socialized housing</w:t>
      </w:r>
      <w:r>
        <w:rPr>
          <w:rFonts w:ascii="Times New Roman" w:hAnsi="Times New Roman" w:cs="Times New Roman"/>
        </w:rPr>
        <w:t xml:space="preserve"> </w:t>
      </w:r>
      <w:r w:rsidRPr="00A941AB">
        <w:rPr>
          <w:rFonts w:ascii="Times New Roman" w:hAnsi="Times New Roman" w:cs="Times New Roman"/>
        </w:rPr>
        <w:t xml:space="preserve">developments for socialized housing investments. The effect of this law on </w:t>
      </w:r>
      <w:r>
        <w:rPr>
          <w:rFonts w:ascii="Times New Roman" w:hAnsi="Times New Roman" w:cs="Times New Roman"/>
        </w:rPr>
        <w:t>increasing</w:t>
      </w:r>
      <w:r w:rsidRPr="00A941AB">
        <w:rPr>
          <w:rFonts w:ascii="Times New Roman" w:hAnsi="Times New Roman" w:cs="Times New Roman"/>
        </w:rPr>
        <w:t xml:space="preserve"> investments in socialized housing is, however, doubtful. In most </w:t>
      </w:r>
      <w:r>
        <w:rPr>
          <w:rFonts w:ascii="Times New Roman" w:hAnsi="Times New Roman" w:cs="Times New Roman"/>
        </w:rPr>
        <w:t>cases</w:t>
      </w:r>
      <w:r w:rsidRPr="00A941AB">
        <w:rPr>
          <w:rFonts w:ascii="Times New Roman" w:hAnsi="Times New Roman" w:cs="Times New Roman"/>
        </w:rPr>
        <w:t>, developers simply buy into the developed projects of socialized housing</w:t>
      </w:r>
      <w:r>
        <w:rPr>
          <w:rFonts w:ascii="Times New Roman" w:hAnsi="Times New Roman" w:cs="Times New Roman"/>
        </w:rPr>
        <w:t xml:space="preserve"> </w:t>
      </w:r>
      <w:r w:rsidRPr="00A941AB">
        <w:rPr>
          <w:rFonts w:ascii="Times New Roman" w:hAnsi="Times New Roman" w:cs="Times New Roman"/>
        </w:rPr>
        <w:t xml:space="preserve">developers to comply with this requirement. </w:t>
      </w:r>
    </w:p>
    <w:p w:rsidR="009611F0" w:rsidRPr="00A941AB" w:rsidRDefault="009611F0" w:rsidP="009611F0">
      <w:pPr>
        <w:spacing w:after="0"/>
        <w:jc w:val="both"/>
        <w:rPr>
          <w:rFonts w:ascii="Times New Roman" w:hAnsi="Times New Roman" w:cs="Times New Roman"/>
        </w:rPr>
      </w:pPr>
    </w:p>
    <w:p w:rsidR="009611F0" w:rsidRPr="00A941AB" w:rsidRDefault="009611F0" w:rsidP="009611F0">
      <w:pPr>
        <w:spacing w:after="0"/>
        <w:ind w:left="2268"/>
        <w:jc w:val="both"/>
        <w:rPr>
          <w:rFonts w:ascii="Times New Roman" w:hAnsi="Times New Roman" w:cs="Times New Roman"/>
        </w:rPr>
      </w:pPr>
      <w:r w:rsidRPr="00A941AB">
        <w:rPr>
          <w:rFonts w:ascii="Times New Roman" w:hAnsi="Times New Roman" w:cs="Times New Roman"/>
        </w:rPr>
        <w:t xml:space="preserve">Starting 1998, however, a declining share of socialized housing </w:t>
      </w:r>
      <w:r>
        <w:rPr>
          <w:rFonts w:ascii="Times New Roman" w:hAnsi="Times New Roman" w:cs="Times New Roman"/>
        </w:rPr>
        <w:t>developments</w:t>
      </w:r>
      <w:r w:rsidRPr="00A941AB">
        <w:rPr>
          <w:rFonts w:ascii="Times New Roman" w:hAnsi="Times New Roman" w:cs="Times New Roman"/>
        </w:rPr>
        <w:t xml:space="preserve"> to total residential development of the private sector has been </w:t>
      </w:r>
      <w:r>
        <w:rPr>
          <w:rFonts w:ascii="Times New Roman" w:hAnsi="Times New Roman" w:cs="Times New Roman"/>
        </w:rPr>
        <w:t>observed</w:t>
      </w:r>
      <w:r w:rsidRPr="00A941AB">
        <w:rPr>
          <w:rFonts w:ascii="Times New Roman" w:hAnsi="Times New Roman" w:cs="Times New Roman"/>
        </w:rPr>
        <w:t>. Developers attributed this to the suspension of the UHLP.</w:t>
      </w:r>
      <w:r>
        <w:rPr>
          <w:rFonts w:ascii="Times New Roman" w:hAnsi="Times New Roman" w:cs="Times New Roman"/>
        </w:rPr>
        <w:t xml:space="preserve"> </w:t>
      </w:r>
      <w:r w:rsidRPr="00A941AB">
        <w:rPr>
          <w:rFonts w:ascii="Times New Roman" w:hAnsi="Times New Roman" w:cs="Times New Roman"/>
        </w:rPr>
        <w:t xml:space="preserve">However, </w:t>
      </w:r>
      <w:r>
        <w:rPr>
          <w:rFonts w:ascii="Times New Roman" w:hAnsi="Times New Roman" w:cs="Times New Roman"/>
        </w:rPr>
        <w:t>it</w:t>
      </w:r>
      <w:r w:rsidRPr="00A941AB">
        <w:rPr>
          <w:rFonts w:ascii="Times New Roman" w:hAnsi="Times New Roman" w:cs="Times New Roman"/>
        </w:rPr>
        <w:t xml:space="preserve"> is noted that the developments in the sector correspond to the economic </w:t>
      </w:r>
      <w:r>
        <w:rPr>
          <w:rFonts w:ascii="Times New Roman" w:hAnsi="Times New Roman" w:cs="Times New Roman"/>
        </w:rPr>
        <w:t>developments</w:t>
      </w:r>
      <w:r w:rsidRPr="00A941AB">
        <w:rPr>
          <w:rFonts w:ascii="Times New Roman" w:hAnsi="Times New Roman" w:cs="Times New Roman"/>
        </w:rPr>
        <w:t xml:space="preserve"> that occurred between 1990 and 1998. The period 1992 to 1996 </w:t>
      </w:r>
      <w:r>
        <w:rPr>
          <w:rFonts w:ascii="Times New Roman" w:hAnsi="Times New Roman" w:cs="Times New Roman"/>
        </w:rPr>
        <w:t>has</w:t>
      </w:r>
      <w:r w:rsidRPr="00A941AB">
        <w:rPr>
          <w:rFonts w:ascii="Times New Roman" w:hAnsi="Times New Roman" w:cs="Times New Roman"/>
        </w:rPr>
        <w:t xml:space="preserve"> been one of </w:t>
      </w:r>
      <w:r w:rsidRPr="00A941AB">
        <w:rPr>
          <w:rFonts w:ascii="Times New Roman" w:hAnsi="Times New Roman" w:cs="Times New Roman"/>
        </w:rPr>
        <w:lastRenderedPageBreak/>
        <w:t>high growth and the real estate industry has enjoyed a boom</w:t>
      </w:r>
      <w:r>
        <w:rPr>
          <w:rFonts w:ascii="Times New Roman" w:hAnsi="Times New Roman" w:cs="Times New Roman"/>
        </w:rPr>
        <w:t xml:space="preserve"> </w:t>
      </w:r>
      <w:r w:rsidRPr="00A941AB">
        <w:rPr>
          <w:rFonts w:ascii="Times New Roman" w:hAnsi="Times New Roman" w:cs="Times New Roman"/>
        </w:rPr>
        <w:t xml:space="preserve">during these years. During this period, banks were also aggressive in financing </w:t>
      </w:r>
      <w:r>
        <w:rPr>
          <w:rFonts w:ascii="Times New Roman" w:hAnsi="Times New Roman" w:cs="Times New Roman"/>
        </w:rPr>
        <w:t>real</w:t>
      </w:r>
      <w:r w:rsidRPr="00A941AB">
        <w:rPr>
          <w:rFonts w:ascii="Times New Roman" w:hAnsi="Times New Roman" w:cs="Times New Roman"/>
        </w:rPr>
        <w:t xml:space="preserve"> estate investments. After 1997, however, there has been an economic </w:t>
      </w:r>
      <w:r>
        <w:rPr>
          <w:rFonts w:ascii="Times New Roman" w:hAnsi="Times New Roman" w:cs="Times New Roman"/>
        </w:rPr>
        <w:t>decline</w:t>
      </w:r>
      <w:r w:rsidRPr="00A941AB">
        <w:rPr>
          <w:rFonts w:ascii="Times New Roman" w:hAnsi="Times New Roman" w:cs="Times New Roman"/>
        </w:rPr>
        <w:t xml:space="preserve"> primarily triggered by the Asian financial crises and the real estate </w:t>
      </w:r>
      <w:r>
        <w:rPr>
          <w:rFonts w:ascii="Times New Roman" w:hAnsi="Times New Roman" w:cs="Times New Roman"/>
        </w:rPr>
        <w:t>industry</w:t>
      </w:r>
      <w:r w:rsidRPr="00A941AB">
        <w:rPr>
          <w:rFonts w:ascii="Times New Roman" w:hAnsi="Times New Roman" w:cs="Times New Roman"/>
        </w:rPr>
        <w:t xml:space="preserve"> has been severely affected by this crisis. The decline thus may also be </w:t>
      </w:r>
      <w:r>
        <w:rPr>
          <w:rFonts w:ascii="Times New Roman" w:hAnsi="Times New Roman" w:cs="Times New Roman"/>
        </w:rPr>
        <w:t>attributed</w:t>
      </w:r>
      <w:r w:rsidRPr="00A941AB">
        <w:rPr>
          <w:rFonts w:ascii="Times New Roman" w:hAnsi="Times New Roman" w:cs="Times New Roman"/>
        </w:rPr>
        <w:t xml:space="preserve"> to the more conservative investments of banks in real estate because</w:t>
      </w:r>
      <w:r>
        <w:rPr>
          <w:rFonts w:ascii="Times New Roman" w:hAnsi="Times New Roman" w:cs="Times New Roman"/>
        </w:rPr>
        <w:t xml:space="preserve"> </w:t>
      </w:r>
      <w:r w:rsidRPr="00A941AB">
        <w:rPr>
          <w:rFonts w:ascii="Times New Roman" w:hAnsi="Times New Roman" w:cs="Times New Roman"/>
        </w:rPr>
        <w:t xml:space="preserve">of the crisis. </w:t>
      </w:r>
    </w:p>
    <w:p w:rsidR="009611F0" w:rsidRDefault="009611F0" w:rsidP="000B53BB">
      <w:pPr>
        <w:pStyle w:val="ListParagraph"/>
        <w:ind w:left="2250"/>
      </w:pPr>
    </w:p>
    <w:p w:rsidR="000B53BB" w:rsidRDefault="000B53BB" w:rsidP="000B53BB">
      <w:pPr>
        <w:pStyle w:val="ListParagraph"/>
        <w:ind w:left="2250"/>
      </w:pPr>
    </w:p>
    <w:p w:rsidR="00A01AE6" w:rsidRDefault="00A01AE6" w:rsidP="00A01AE6">
      <w:pPr>
        <w:pStyle w:val="ListParagraph"/>
        <w:numPr>
          <w:ilvl w:val="1"/>
          <w:numId w:val="10"/>
        </w:numPr>
        <w:ind w:left="2250"/>
      </w:pPr>
      <w:r>
        <w:t>Housing Microfinance Institutions</w:t>
      </w:r>
    </w:p>
    <w:p w:rsidR="00CF0FE4" w:rsidRDefault="008618A3" w:rsidP="00CF0FE4">
      <w:pPr>
        <w:ind w:left="2250"/>
      </w:pPr>
      <w:r>
        <w:t>Social</w:t>
      </w:r>
      <w:r w:rsidR="00CF0FE4">
        <w:t xml:space="preserve"> Housing Finance Corporation.</w:t>
      </w:r>
    </w:p>
    <w:p w:rsidR="00B5432C" w:rsidRDefault="00B5432C" w:rsidP="00B5432C">
      <w:pPr>
        <w:pStyle w:val="ListParagraph"/>
        <w:ind w:left="2250"/>
      </w:pPr>
    </w:p>
    <w:p w:rsidR="000B53BB" w:rsidRDefault="000B53BB" w:rsidP="00B5432C">
      <w:pPr>
        <w:pStyle w:val="ListParagraph"/>
        <w:ind w:left="2250"/>
      </w:pPr>
    </w:p>
    <w:p w:rsidR="00A01AE6" w:rsidRDefault="00A01AE6" w:rsidP="00A01AE6">
      <w:pPr>
        <w:pStyle w:val="ListParagraph"/>
        <w:numPr>
          <w:ilvl w:val="0"/>
          <w:numId w:val="10"/>
        </w:numPr>
      </w:pPr>
      <w:r>
        <w:t xml:space="preserve">Housing Finance Options for LIG </w:t>
      </w:r>
    </w:p>
    <w:p w:rsidR="00A01AE6" w:rsidRDefault="00A01AE6" w:rsidP="00A01AE6">
      <w:pPr>
        <w:pStyle w:val="ListParagraph"/>
        <w:ind w:left="1080"/>
      </w:pPr>
      <w:r>
        <w:t>Commercial Banks, Specialized HFIs, HMFIs, and informal sources if any</w:t>
      </w:r>
      <w:r w:rsidR="00C26D4D">
        <w:t>:</w:t>
      </w:r>
    </w:p>
    <w:p w:rsidR="00C26D4D" w:rsidRDefault="00C26D4D" w:rsidP="00A01AE6">
      <w:pPr>
        <w:pStyle w:val="ListParagraph"/>
        <w:ind w:left="1080"/>
      </w:pPr>
    </w:p>
    <w:p w:rsidR="00827BF3" w:rsidRDefault="00827BF3" w:rsidP="00827BF3">
      <w:pPr>
        <w:pStyle w:val="ListParagraph"/>
        <w:ind w:left="1080"/>
      </w:pPr>
      <w:r>
        <w:t>To help housing for low income group, the government initiated four community-based housing programs: i) Group Land Acquisition and Development programme ii) Land Tenure Assistance Programme iii) Community Land Acquisition Support Programme iv) Community Mortgage Programme. These housing programmes operate under the concept of community resource mobilisation to provide low income households access to decent shelter and land tenure security. The Home Development Mutual Fund is the main implementing agency of the Group Land Acquisition and Development programme while the National Housing Authority oversees the Land Tenure Assistance Programme and Community Land Acquisition Support Programme. The Community Mortgage Programme, which is the most availed among these community-based housing programmes, is managed by the Social Housing Finance Corporation.</w:t>
      </w:r>
      <w:r>
        <w:rPr>
          <w:rStyle w:val="FootnoteReference"/>
        </w:rPr>
        <w:footnoteReference w:id="5"/>
      </w:r>
    </w:p>
    <w:p w:rsidR="00C26D4D" w:rsidRDefault="00C26D4D" w:rsidP="00C26D4D">
      <w:pPr>
        <w:pStyle w:val="ListParagraph"/>
        <w:ind w:left="1080"/>
      </w:pPr>
    </w:p>
    <w:p w:rsidR="00C26D4D" w:rsidRDefault="00C26D4D" w:rsidP="00C26D4D">
      <w:pPr>
        <w:pStyle w:val="ListParagraph"/>
        <w:ind w:left="1080"/>
      </w:pPr>
    </w:p>
    <w:p w:rsidR="00A01AE6" w:rsidRDefault="00A01AE6" w:rsidP="00A01AE6">
      <w:pPr>
        <w:pStyle w:val="ListParagraph"/>
        <w:numPr>
          <w:ilvl w:val="0"/>
          <w:numId w:val="10"/>
        </w:numPr>
      </w:pPr>
      <w:r>
        <w:t>Regulatory Framework:</w:t>
      </w:r>
    </w:p>
    <w:p w:rsidR="00C26D4D" w:rsidRDefault="008D3950" w:rsidP="00C26D4D">
      <w:pPr>
        <w:pStyle w:val="ListParagraph"/>
        <w:ind w:left="1080"/>
      </w:pPr>
      <w:r>
        <w:t xml:space="preserve">For Commercial Banks and Specialized </w:t>
      </w:r>
      <w:proofErr w:type="gramStart"/>
      <w:r>
        <w:t>HFIs ,</w:t>
      </w:r>
      <w:proofErr w:type="gramEnd"/>
      <w:r>
        <w:t xml:space="preserve"> the regulatory agency is Central Bank. For other non-banking institutions, the regulatory framework is not well defined</w:t>
      </w:r>
    </w:p>
    <w:p w:rsidR="00C26D4D" w:rsidRDefault="00C26D4D" w:rsidP="00C26D4D">
      <w:pPr>
        <w:pStyle w:val="ListParagraph"/>
        <w:ind w:left="1080"/>
      </w:pPr>
    </w:p>
    <w:p w:rsidR="00A01AE6" w:rsidRDefault="00A01AE6" w:rsidP="00A01AE6">
      <w:pPr>
        <w:pStyle w:val="ListParagraph"/>
        <w:numPr>
          <w:ilvl w:val="0"/>
          <w:numId w:val="10"/>
        </w:numPr>
      </w:pPr>
      <w:r>
        <w:t>A summary of prevailing regulatory regime for housing fina</w:t>
      </w:r>
      <w:r w:rsidR="00974DDA">
        <w:t>n</w:t>
      </w:r>
      <w:r>
        <w:t xml:space="preserve">ce ( Central bank or a special agency), presence of Prudential regulations, Mortgage law, Mortgage Guidelines </w:t>
      </w:r>
      <w:proofErr w:type="spellStart"/>
      <w:r>
        <w:t>etc</w:t>
      </w:r>
      <w:proofErr w:type="spellEnd"/>
      <w:r>
        <w:t xml:space="preserve"> Constraints in Growth of Housing Finance for LIG</w:t>
      </w:r>
    </w:p>
    <w:p w:rsidR="00A01AE6" w:rsidRDefault="00A01AE6" w:rsidP="00A01AE6">
      <w:pPr>
        <w:pStyle w:val="ListParagraph"/>
        <w:ind w:left="1080"/>
      </w:pPr>
      <w:r>
        <w:t>General review</w:t>
      </w:r>
      <w:r w:rsidR="00FA56D6">
        <w:t>:</w:t>
      </w:r>
    </w:p>
    <w:p w:rsidR="00FA56D6" w:rsidRDefault="00FA56D6" w:rsidP="00A01AE6">
      <w:pPr>
        <w:pStyle w:val="ListParagraph"/>
        <w:ind w:left="1080"/>
      </w:pPr>
    </w:p>
    <w:p w:rsidR="00C26D4D" w:rsidRDefault="00C26D4D" w:rsidP="00A01AE6">
      <w:pPr>
        <w:pStyle w:val="ListParagraph"/>
        <w:ind w:left="1080"/>
      </w:pPr>
    </w:p>
    <w:p w:rsidR="00C26D4D" w:rsidRDefault="00C26D4D" w:rsidP="00A01AE6">
      <w:pPr>
        <w:pStyle w:val="ListParagraph"/>
        <w:ind w:left="1080"/>
      </w:pPr>
    </w:p>
    <w:p w:rsidR="00A01AE6" w:rsidRDefault="00A01AE6" w:rsidP="00A01AE6">
      <w:pPr>
        <w:pStyle w:val="ListParagraph"/>
        <w:numPr>
          <w:ilvl w:val="0"/>
          <w:numId w:val="10"/>
        </w:numPr>
      </w:pPr>
      <w:r w:rsidRPr="00025F25">
        <w:lastRenderedPageBreak/>
        <w:t>Fiscal Support and Subsidy Programs</w:t>
      </w:r>
      <w:r>
        <w:t>:</w:t>
      </w:r>
    </w:p>
    <w:p w:rsidR="00907516" w:rsidRDefault="00907516" w:rsidP="00907516">
      <w:pPr>
        <w:pStyle w:val="ListParagraph"/>
        <w:ind w:left="1080"/>
      </w:pPr>
    </w:p>
    <w:p w:rsidR="002E12F0" w:rsidRDefault="008C2F6A" w:rsidP="008C2F6A">
      <w:pPr>
        <w:pStyle w:val="ListParagraph"/>
        <w:ind w:left="1080"/>
      </w:pPr>
      <w:r>
        <w:t>There are four varied</w:t>
      </w:r>
      <w:r w:rsidR="002E12F0">
        <w:t xml:space="preserve"> types of subsidies in housing: interest rate subsidy, land cost subsidy, tax exemption and cash transfer. The interest rate subsidy represents an imp</w:t>
      </w:r>
      <w:r>
        <w:t>licit subsidy,</w:t>
      </w:r>
      <w:r w:rsidR="002E12F0">
        <w:t xml:space="preserve"> because the borrower pays a lower interest rate than what he would have paid in the market. The same principle applies to a land cost subsidy and tax exemption subsidy. In the former, the beneficiary pays a lower than market price for the land while in the latter, income or profits of developers from low cost housing developments is not taxed. Cash transfer refers to actual transfer of funds (e.g. grants). Aside from </w:t>
      </w:r>
      <w:r>
        <w:t>t</w:t>
      </w:r>
      <w:r w:rsidR="002E12F0">
        <w:t>hese “programmed” subsidies, loan losses from the housing programs also constitute another form of subsidy. The magnitude of subsidy due to loan losses has yet to be fully measured. Considering the above forms of subsidy, data shows that the bulk (90%) of subsidies to the housing sector for the period 1993-95 consists of interest subsidies provided through end-user and development financing programs. In particular, the United Home Lending Program (UHLP) carries the largest subsidy.</w:t>
      </w:r>
    </w:p>
    <w:p w:rsidR="002E12F0" w:rsidRDefault="002E12F0" w:rsidP="002E12F0">
      <w:pPr>
        <w:pStyle w:val="ListParagraph"/>
        <w:ind w:left="1080"/>
      </w:pPr>
    </w:p>
    <w:p w:rsidR="002E12F0" w:rsidRDefault="002E12F0" w:rsidP="002E12F0">
      <w:pPr>
        <w:pStyle w:val="ListParagraph"/>
        <w:ind w:left="1080"/>
      </w:pPr>
      <w:r>
        <w:t>For development type loans, the CMP</w:t>
      </w:r>
      <w:r w:rsidR="008C2F6A">
        <w:t xml:space="preserve"> (Community Mortgage Program)</w:t>
      </w:r>
      <w:r>
        <w:t xml:space="preserve"> receives about 3.7 percent of the interest subsidy for the same period. Next, to interest subsidies, land cost subsidy constitutes 5.1 percent of total subsidy for 1993-95. This is followed by tax-exempt subsidies obtained from HGC guarantees (4.5%) then cash subsidies (0.4%)</w:t>
      </w:r>
      <w:r w:rsidR="00B80630">
        <w:rPr>
          <w:rStyle w:val="FootnoteReference"/>
        </w:rPr>
        <w:footnoteReference w:id="6"/>
      </w:r>
      <w:r>
        <w:t>.</w:t>
      </w:r>
    </w:p>
    <w:p w:rsidR="008A5B1C" w:rsidRDefault="008A5B1C" w:rsidP="00907516">
      <w:pPr>
        <w:pStyle w:val="ListParagraph"/>
        <w:ind w:left="1080"/>
      </w:pPr>
    </w:p>
    <w:p w:rsidR="00CD3AEF" w:rsidRDefault="00CD3AEF" w:rsidP="00907516">
      <w:pPr>
        <w:pStyle w:val="ListParagraph"/>
        <w:ind w:left="1080"/>
      </w:pPr>
    </w:p>
    <w:p w:rsidR="00AE3878" w:rsidRDefault="00A01AE6" w:rsidP="00A01AE6">
      <w:pPr>
        <w:pStyle w:val="ListParagraph"/>
        <w:numPr>
          <w:ilvl w:val="0"/>
          <w:numId w:val="10"/>
        </w:numPr>
      </w:pPr>
      <w:r w:rsidRPr="00CD3AEF">
        <w:rPr>
          <w:highlight w:val="green"/>
        </w:rPr>
        <w:t>Any</w:t>
      </w:r>
      <w:r>
        <w:t xml:space="preserve"> State level subsidy program Like Interest Rate Subsidy, T</w:t>
      </w:r>
      <w:r w:rsidR="003F56E1">
        <w:t>a</w:t>
      </w:r>
      <w:r>
        <w:t>x Incentive,</w:t>
      </w:r>
      <w:r w:rsidR="00592992">
        <w:t xml:space="preserve"> </w:t>
      </w:r>
      <w:r>
        <w:t xml:space="preserve">Credit </w:t>
      </w:r>
      <w:r w:rsidR="00592992">
        <w:t>Guarantee</w:t>
      </w:r>
    </w:p>
    <w:p w:rsidR="00AE3878" w:rsidRDefault="008C2F6A" w:rsidP="00AE3878">
      <w:pPr>
        <w:pStyle w:val="ListParagraph"/>
        <w:ind w:left="1080"/>
      </w:pPr>
      <w:proofErr w:type="gramStart"/>
      <w:r>
        <w:t>Covered above.</w:t>
      </w:r>
      <w:proofErr w:type="gramEnd"/>
    </w:p>
    <w:p w:rsidR="00A01AE6" w:rsidRDefault="00A01AE6" w:rsidP="00AE3878">
      <w:pPr>
        <w:pStyle w:val="ListParagraph"/>
        <w:ind w:left="1080"/>
      </w:pPr>
      <w:r>
        <w:t xml:space="preserve">  </w:t>
      </w:r>
    </w:p>
    <w:p w:rsidR="00A01AE6" w:rsidRDefault="00A01AE6" w:rsidP="00A01AE6">
      <w:pPr>
        <w:pStyle w:val="ListParagraph"/>
        <w:numPr>
          <w:ilvl w:val="0"/>
          <w:numId w:val="10"/>
        </w:numPr>
      </w:pPr>
      <w:r w:rsidRPr="00CD3AEF">
        <w:rPr>
          <w:highlight w:val="green"/>
        </w:rPr>
        <w:t>Community</w:t>
      </w:r>
      <w:r>
        <w:t xml:space="preserve"> Based Programs for LIH</w:t>
      </w:r>
    </w:p>
    <w:p w:rsidR="00A01AE6" w:rsidRDefault="00A01AE6" w:rsidP="00A01AE6">
      <w:pPr>
        <w:pStyle w:val="ListParagraph"/>
        <w:numPr>
          <w:ilvl w:val="1"/>
          <w:numId w:val="10"/>
        </w:numPr>
        <w:ind w:left="2250"/>
      </w:pPr>
      <w:r w:rsidRPr="000E56DE">
        <w:t>State Level Program</w:t>
      </w:r>
    </w:p>
    <w:p w:rsidR="00A01AE6" w:rsidRDefault="00A01AE6" w:rsidP="00A01AE6">
      <w:pPr>
        <w:pStyle w:val="ListParagraph"/>
        <w:numPr>
          <w:ilvl w:val="1"/>
          <w:numId w:val="10"/>
        </w:numPr>
        <w:ind w:left="2250"/>
      </w:pPr>
      <w:r w:rsidRPr="000E56DE">
        <w:t>NGO Initiatives</w:t>
      </w:r>
    </w:p>
    <w:p w:rsidR="00A01AE6" w:rsidRDefault="008C2F6A" w:rsidP="00A01AE6">
      <w:pPr>
        <w:pStyle w:val="ListParagraph"/>
        <w:ind w:left="1080"/>
      </w:pPr>
      <w:r>
        <w:t>Covered above</w:t>
      </w:r>
    </w:p>
    <w:p w:rsidR="00A01AE6" w:rsidRDefault="00A01AE6" w:rsidP="00A01AE6">
      <w:pPr>
        <w:pStyle w:val="ListParagraph"/>
        <w:numPr>
          <w:ilvl w:val="0"/>
          <w:numId w:val="10"/>
        </w:numPr>
      </w:pPr>
      <w:r w:rsidRPr="001B08B2">
        <w:t>Lessons</w:t>
      </w:r>
      <w:r>
        <w:t xml:space="preserve"> Learned and way forward: Discuss the constraints in growth of LIH finance, steps n</w:t>
      </w:r>
      <w:bookmarkStart w:id="0" w:name="_GoBack"/>
      <w:bookmarkEnd w:id="0"/>
      <w:r>
        <w:t xml:space="preserve">eeded </w:t>
      </w:r>
      <w:r w:rsidR="00C71EBE">
        <w:t>to address them and way forward</w:t>
      </w:r>
      <w:r w:rsidR="00110327">
        <w:rPr>
          <w:rStyle w:val="FootnoteReference"/>
        </w:rPr>
        <w:footnoteReference w:id="7"/>
      </w:r>
      <w:r w:rsidR="00C71EBE">
        <w:t>:</w:t>
      </w:r>
    </w:p>
    <w:p w:rsidR="00CA0F1F" w:rsidRPr="009B2225" w:rsidRDefault="00D536D7" w:rsidP="009B2225">
      <w:pPr>
        <w:numPr>
          <w:ilvl w:val="1"/>
          <w:numId w:val="15"/>
        </w:numPr>
        <w:rPr>
          <w:lang w:val="en-GB"/>
        </w:rPr>
      </w:pPr>
      <w:r w:rsidRPr="009B2225">
        <w:t>Prepare and submit FIRST Application to help produce a strategic roadmap for housing finance in Philippines.</w:t>
      </w:r>
    </w:p>
    <w:p w:rsidR="00CA0F1F" w:rsidRPr="009B2225" w:rsidRDefault="00D536D7" w:rsidP="009B2225">
      <w:pPr>
        <w:numPr>
          <w:ilvl w:val="1"/>
          <w:numId w:val="15"/>
        </w:numPr>
        <w:rPr>
          <w:lang w:val="en-GB"/>
        </w:rPr>
      </w:pPr>
      <w:r w:rsidRPr="009B2225">
        <w:t>Key counterparts to be selected from HUDCC and DOF to work with WB on the project</w:t>
      </w:r>
    </w:p>
    <w:p w:rsidR="00CA0F1F" w:rsidRPr="009B2225" w:rsidRDefault="00D536D7" w:rsidP="009B2225">
      <w:pPr>
        <w:numPr>
          <w:ilvl w:val="1"/>
          <w:numId w:val="15"/>
        </w:numPr>
        <w:rPr>
          <w:lang w:val="en-GB"/>
        </w:rPr>
      </w:pPr>
      <w:r w:rsidRPr="009B2225">
        <w:t>Set up Mortgage Market Development Committee with key public and private stakeholders</w:t>
      </w:r>
    </w:p>
    <w:p w:rsidR="00CA0F1F" w:rsidRPr="009B2225" w:rsidRDefault="00D536D7" w:rsidP="009B2225">
      <w:pPr>
        <w:numPr>
          <w:ilvl w:val="1"/>
          <w:numId w:val="15"/>
        </w:numPr>
        <w:rPr>
          <w:lang w:val="en-GB"/>
        </w:rPr>
      </w:pPr>
      <w:r w:rsidRPr="009B2225">
        <w:lastRenderedPageBreak/>
        <w:t>Alongside this, consider a Housing Finance for the poor development group to steer work for lower income groups</w:t>
      </w:r>
    </w:p>
    <w:p w:rsidR="00CA0F1F" w:rsidRPr="009B2225" w:rsidRDefault="00D536D7" w:rsidP="009B2225">
      <w:pPr>
        <w:numPr>
          <w:ilvl w:val="1"/>
          <w:numId w:val="15"/>
        </w:numPr>
        <w:rPr>
          <w:lang w:val="en-GB"/>
        </w:rPr>
      </w:pPr>
      <w:r w:rsidRPr="009B2225">
        <w:t>Consider a housing finance conference to initiate the work and help build ownership of the work across sector</w:t>
      </w:r>
    </w:p>
    <w:p w:rsidR="009B2225" w:rsidRDefault="009B2225" w:rsidP="009B2225">
      <w:pPr>
        <w:ind w:left="1080"/>
      </w:pPr>
    </w:p>
    <w:p w:rsidR="00C71EBE" w:rsidRDefault="00C71EBE" w:rsidP="002C1364">
      <w:pPr>
        <w:ind w:left="1080"/>
      </w:pPr>
    </w:p>
    <w:p w:rsidR="00A01AE6" w:rsidRDefault="00A01AE6"/>
    <w:sectPr w:rsidR="00A01A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B9C" w:rsidRDefault="00381B9C" w:rsidP="000B15AE">
      <w:pPr>
        <w:spacing w:after="0" w:line="240" w:lineRule="auto"/>
      </w:pPr>
      <w:r>
        <w:separator/>
      </w:r>
    </w:p>
  </w:endnote>
  <w:endnote w:type="continuationSeparator" w:id="0">
    <w:p w:rsidR="00381B9C" w:rsidRDefault="00381B9C" w:rsidP="000B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B9C" w:rsidRDefault="00381B9C" w:rsidP="000B15AE">
      <w:pPr>
        <w:spacing w:after="0" w:line="240" w:lineRule="auto"/>
      </w:pPr>
      <w:r>
        <w:separator/>
      </w:r>
    </w:p>
  </w:footnote>
  <w:footnote w:type="continuationSeparator" w:id="0">
    <w:p w:rsidR="00381B9C" w:rsidRDefault="00381B9C" w:rsidP="000B15AE">
      <w:pPr>
        <w:spacing w:after="0" w:line="240" w:lineRule="auto"/>
      </w:pPr>
      <w:r>
        <w:continuationSeparator/>
      </w:r>
    </w:p>
  </w:footnote>
  <w:footnote w:id="1">
    <w:p w:rsidR="00F7279F" w:rsidRDefault="00F7279F">
      <w:pPr>
        <w:pStyle w:val="FootnoteText"/>
      </w:pPr>
      <w:r>
        <w:rPr>
          <w:rStyle w:val="FootnoteReference"/>
        </w:rPr>
        <w:footnoteRef/>
      </w:r>
      <w:r>
        <w:t xml:space="preserve"> Community Based Housing Finance Initiatives, by UN-Habitat</w:t>
      </w:r>
    </w:p>
  </w:footnote>
  <w:footnote w:id="2">
    <w:p w:rsidR="00965372" w:rsidRDefault="00965372">
      <w:pPr>
        <w:pStyle w:val="FootnoteText"/>
      </w:pPr>
      <w:r>
        <w:rPr>
          <w:rStyle w:val="FootnoteReference"/>
        </w:rPr>
        <w:footnoteRef/>
      </w:r>
      <w:r>
        <w:t xml:space="preserve"> Reforming housing for the poor in the Philippines, by </w:t>
      </w:r>
      <w:proofErr w:type="spellStart"/>
      <w:r>
        <w:t>Marife</w:t>
      </w:r>
      <w:proofErr w:type="spellEnd"/>
      <w:r>
        <w:t xml:space="preserve"> Ballesteros, PIDS</w:t>
      </w:r>
    </w:p>
  </w:footnote>
  <w:footnote w:id="3">
    <w:p w:rsidR="00B51A41" w:rsidRDefault="00B51A41" w:rsidP="00B51A41">
      <w:r>
        <w:rPr>
          <w:rStyle w:val="FootnoteReference"/>
        </w:rPr>
        <w:footnoteRef/>
      </w:r>
      <w:r>
        <w:t xml:space="preserve"> </w:t>
      </w:r>
      <w:r w:rsidRPr="00B51A41">
        <w:rPr>
          <w:sz w:val="20"/>
          <w:szCs w:val="20"/>
        </w:rPr>
        <w:t>Ira G. Peppercorn, Senior Housing Finance Specialist</w:t>
      </w:r>
      <w:r>
        <w:rPr>
          <w:sz w:val="20"/>
          <w:szCs w:val="20"/>
        </w:rPr>
        <w:t>, December 12-19, 2011</w:t>
      </w:r>
    </w:p>
    <w:p w:rsidR="00B51A41" w:rsidRDefault="00B51A41">
      <w:pPr>
        <w:pStyle w:val="FootnoteText"/>
      </w:pPr>
    </w:p>
  </w:footnote>
  <w:footnote w:id="4">
    <w:p w:rsidR="00EF47A2" w:rsidRDefault="00EF47A2">
      <w:pPr>
        <w:pStyle w:val="FootnoteText"/>
      </w:pPr>
      <w:r>
        <w:rPr>
          <w:rStyle w:val="FootnoteReference"/>
        </w:rPr>
        <w:footnoteRef/>
      </w:r>
      <w:r>
        <w:t xml:space="preserve"> Community based housing finance initiative</w:t>
      </w:r>
      <w:r w:rsidR="00B80630">
        <w:t>s</w:t>
      </w:r>
      <w:r>
        <w:t>, by UN-Habitat</w:t>
      </w:r>
    </w:p>
  </w:footnote>
  <w:footnote w:id="5">
    <w:p w:rsidR="00827BF3" w:rsidRDefault="00827BF3">
      <w:pPr>
        <w:pStyle w:val="FootnoteText"/>
      </w:pPr>
      <w:r>
        <w:rPr>
          <w:rStyle w:val="FootnoteReference"/>
        </w:rPr>
        <w:footnoteRef/>
      </w:r>
      <w:r>
        <w:t xml:space="preserve"> Community-based housing finance initiatives, by UN-Habitat</w:t>
      </w:r>
    </w:p>
  </w:footnote>
  <w:footnote w:id="6">
    <w:p w:rsidR="00B80630" w:rsidRDefault="00B80630">
      <w:pPr>
        <w:pStyle w:val="FootnoteText"/>
      </w:pPr>
      <w:r>
        <w:rPr>
          <w:rStyle w:val="FootnoteReference"/>
        </w:rPr>
        <w:footnoteRef/>
      </w:r>
      <w:r>
        <w:t xml:space="preserve"> Reforming housing for the poor in the Philippines, by </w:t>
      </w:r>
      <w:proofErr w:type="spellStart"/>
      <w:r>
        <w:t>Marife</w:t>
      </w:r>
      <w:proofErr w:type="spellEnd"/>
      <w:r>
        <w:t xml:space="preserve"> Ballesteros, PIDS</w:t>
      </w:r>
    </w:p>
  </w:footnote>
  <w:footnote w:id="7">
    <w:p w:rsidR="00110327" w:rsidRDefault="00110327">
      <w:pPr>
        <w:pStyle w:val="FootnoteText"/>
      </w:pPr>
      <w:r>
        <w:rPr>
          <w:rStyle w:val="FootnoteReference"/>
        </w:rPr>
        <w:footnoteRef/>
      </w:r>
      <w:r>
        <w:t xml:space="preserve"> </w:t>
      </w:r>
      <w:r w:rsidR="00B80630">
        <w:t>Ph</w:t>
      </w:r>
      <w:r>
        <w:t>ilippines housing finance post-FSAP follow up - presentation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86B"/>
    <w:multiLevelType w:val="hybridMultilevel"/>
    <w:tmpl w:val="77EE7E7A"/>
    <w:lvl w:ilvl="0" w:tplc="9E6ACC38">
      <w:start w:val="1"/>
      <w:numFmt w:val="bullet"/>
      <w:lvlText w:val=""/>
      <w:lvlJc w:val="left"/>
      <w:pPr>
        <w:tabs>
          <w:tab w:val="num" w:pos="720"/>
        </w:tabs>
        <w:ind w:left="720" w:hanging="360"/>
      </w:pPr>
      <w:rPr>
        <w:rFonts w:ascii="Wingdings" w:hAnsi="Wingdings" w:hint="default"/>
      </w:rPr>
    </w:lvl>
    <w:lvl w:ilvl="1" w:tplc="034E3E5E" w:tentative="1">
      <w:start w:val="1"/>
      <w:numFmt w:val="bullet"/>
      <w:lvlText w:val=""/>
      <w:lvlJc w:val="left"/>
      <w:pPr>
        <w:tabs>
          <w:tab w:val="num" w:pos="1440"/>
        </w:tabs>
        <w:ind w:left="1440" w:hanging="360"/>
      </w:pPr>
      <w:rPr>
        <w:rFonts w:ascii="Wingdings" w:hAnsi="Wingdings" w:hint="default"/>
      </w:rPr>
    </w:lvl>
    <w:lvl w:ilvl="2" w:tplc="F3A25302" w:tentative="1">
      <w:start w:val="1"/>
      <w:numFmt w:val="bullet"/>
      <w:lvlText w:val=""/>
      <w:lvlJc w:val="left"/>
      <w:pPr>
        <w:tabs>
          <w:tab w:val="num" w:pos="2160"/>
        </w:tabs>
        <w:ind w:left="2160" w:hanging="360"/>
      </w:pPr>
      <w:rPr>
        <w:rFonts w:ascii="Wingdings" w:hAnsi="Wingdings" w:hint="default"/>
      </w:rPr>
    </w:lvl>
    <w:lvl w:ilvl="3" w:tplc="DAAA5EAA" w:tentative="1">
      <w:start w:val="1"/>
      <w:numFmt w:val="bullet"/>
      <w:lvlText w:val=""/>
      <w:lvlJc w:val="left"/>
      <w:pPr>
        <w:tabs>
          <w:tab w:val="num" w:pos="2880"/>
        </w:tabs>
        <w:ind w:left="2880" w:hanging="360"/>
      </w:pPr>
      <w:rPr>
        <w:rFonts w:ascii="Wingdings" w:hAnsi="Wingdings" w:hint="default"/>
      </w:rPr>
    </w:lvl>
    <w:lvl w:ilvl="4" w:tplc="2AE6403A" w:tentative="1">
      <w:start w:val="1"/>
      <w:numFmt w:val="bullet"/>
      <w:lvlText w:val=""/>
      <w:lvlJc w:val="left"/>
      <w:pPr>
        <w:tabs>
          <w:tab w:val="num" w:pos="3600"/>
        </w:tabs>
        <w:ind w:left="3600" w:hanging="360"/>
      </w:pPr>
      <w:rPr>
        <w:rFonts w:ascii="Wingdings" w:hAnsi="Wingdings" w:hint="default"/>
      </w:rPr>
    </w:lvl>
    <w:lvl w:ilvl="5" w:tplc="415CBFBC" w:tentative="1">
      <w:start w:val="1"/>
      <w:numFmt w:val="bullet"/>
      <w:lvlText w:val=""/>
      <w:lvlJc w:val="left"/>
      <w:pPr>
        <w:tabs>
          <w:tab w:val="num" w:pos="4320"/>
        </w:tabs>
        <w:ind w:left="4320" w:hanging="360"/>
      </w:pPr>
      <w:rPr>
        <w:rFonts w:ascii="Wingdings" w:hAnsi="Wingdings" w:hint="default"/>
      </w:rPr>
    </w:lvl>
    <w:lvl w:ilvl="6" w:tplc="14C29772" w:tentative="1">
      <w:start w:val="1"/>
      <w:numFmt w:val="bullet"/>
      <w:lvlText w:val=""/>
      <w:lvlJc w:val="left"/>
      <w:pPr>
        <w:tabs>
          <w:tab w:val="num" w:pos="5040"/>
        </w:tabs>
        <w:ind w:left="5040" w:hanging="360"/>
      </w:pPr>
      <w:rPr>
        <w:rFonts w:ascii="Wingdings" w:hAnsi="Wingdings" w:hint="default"/>
      </w:rPr>
    </w:lvl>
    <w:lvl w:ilvl="7" w:tplc="832EEEB4" w:tentative="1">
      <w:start w:val="1"/>
      <w:numFmt w:val="bullet"/>
      <w:lvlText w:val=""/>
      <w:lvlJc w:val="left"/>
      <w:pPr>
        <w:tabs>
          <w:tab w:val="num" w:pos="5760"/>
        </w:tabs>
        <w:ind w:left="5760" w:hanging="360"/>
      </w:pPr>
      <w:rPr>
        <w:rFonts w:ascii="Wingdings" w:hAnsi="Wingdings" w:hint="default"/>
      </w:rPr>
    </w:lvl>
    <w:lvl w:ilvl="8" w:tplc="15B2AE70" w:tentative="1">
      <w:start w:val="1"/>
      <w:numFmt w:val="bullet"/>
      <w:lvlText w:val=""/>
      <w:lvlJc w:val="left"/>
      <w:pPr>
        <w:tabs>
          <w:tab w:val="num" w:pos="6480"/>
        </w:tabs>
        <w:ind w:left="6480" w:hanging="360"/>
      </w:pPr>
      <w:rPr>
        <w:rFonts w:ascii="Wingdings" w:hAnsi="Wingdings" w:hint="default"/>
      </w:rPr>
    </w:lvl>
  </w:abstractNum>
  <w:abstractNum w:abstractNumId="1">
    <w:nsid w:val="0DD30125"/>
    <w:multiLevelType w:val="multilevel"/>
    <w:tmpl w:val="351C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D0A3A"/>
    <w:multiLevelType w:val="multilevel"/>
    <w:tmpl w:val="F010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652E9"/>
    <w:multiLevelType w:val="multilevel"/>
    <w:tmpl w:val="6E203E0E"/>
    <w:lvl w:ilvl="0">
      <w:start w:val="1"/>
      <w:numFmt w:val="decimal"/>
      <w:lvlText w:val="%1."/>
      <w:lvlJc w:val="left"/>
      <w:pPr>
        <w:ind w:left="1080" w:hanging="360"/>
      </w:pPr>
      <w:rPr>
        <w:rFonts w:hint="default"/>
      </w:rPr>
    </w:lvl>
    <w:lvl w:ilvl="1">
      <w:start w:val="1"/>
      <w:numFmt w:val="decimal"/>
      <w:isLgl/>
      <w:lvlText w:val="%1.%2"/>
      <w:lvlJc w:val="left"/>
      <w:pPr>
        <w:ind w:left="2070" w:hanging="36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03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630" w:hanging="1440"/>
      </w:pPr>
      <w:rPr>
        <w:rFonts w:hint="default"/>
      </w:rPr>
    </w:lvl>
    <w:lvl w:ilvl="8">
      <w:start w:val="1"/>
      <w:numFmt w:val="decimal"/>
      <w:isLgl/>
      <w:lvlText w:val="%1.%2.%3.%4.%5.%6.%7.%8.%9"/>
      <w:lvlJc w:val="left"/>
      <w:pPr>
        <w:ind w:left="10710" w:hanging="1440"/>
      </w:pPr>
      <w:rPr>
        <w:rFonts w:hint="default"/>
      </w:rPr>
    </w:lvl>
  </w:abstractNum>
  <w:abstractNum w:abstractNumId="4">
    <w:nsid w:val="204A5E24"/>
    <w:multiLevelType w:val="multilevel"/>
    <w:tmpl w:val="B7C8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C3AB1"/>
    <w:multiLevelType w:val="multilevel"/>
    <w:tmpl w:val="A704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74079B"/>
    <w:multiLevelType w:val="multilevel"/>
    <w:tmpl w:val="05B0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E53AA9"/>
    <w:multiLevelType w:val="hybridMultilevel"/>
    <w:tmpl w:val="785CBEF2"/>
    <w:lvl w:ilvl="0" w:tplc="DBC4A4DE">
      <w:numFmt w:val="bullet"/>
      <w:lvlText w:val="-"/>
      <w:lvlJc w:val="left"/>
      <w:pPr>
        <w:ind w:left="1530" w:hanging="360"/>
      </w:pPr>
      <w:rPr>
        <w:rFonts w:ascii="Calibri" w:eastAsiaTheme="minorHAnsi" w:hAnsi="Calibri" w:cs="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4886068D"/>
    <w:multiLevelType w:val="multilevel"/>
    <w:tmpl w:val="B7C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B03FBD"/>
    <w:multiLevelType w:val="hybridMultilevel"/>
    <w:tmpl w:val="E92A89F6"/>
    <w:lvl w:ilvl="0" w:tplc="DBC4A4DE">
      <w:numFmt w:val="bullet"/>
      <w:lvlText w:val="-"/>
      <w:lvlJc w:val="left"/>
      <w:pPr>
        <w:ind w:left="2700" w:hanging="360"/>
      </w:pPr>
      <w:rPr>
        <w:rFonts w:ascii="Calibri" w:eastAsiaTheme="minorHAnsi" w:hAnsi="Calibri" w:cs="Calibr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5A924C73"/>
    <w:multiLevelType w:val="multilevel"/>
    <w:tmpl w:val="DF6268F8"/>
    <w:lvl w:ilvl="0">
      <w:start w:val="1"/>
      <w:numFmt w:val="decimal"/>
      <w:lvlText w:val="%1."/>
      <w:lvlJc w:val="left"/>
      <w:pPr>
        <w:ind w:left="117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800" w:hanging="1440"/>
      </w:pPr>
      <w:rPr>
        <w:rFonts w:hint="default"/>
      </w:rPr>
    </w:lvl>
  </w:abstractNum>
  <w:abstractNum w:abstractNumId="11">
    <w:nsid w:val="611F1FF2"/>
    <w:multiLevelType w:val="hybridMultilevel"/>
    <w:tmpl w:val="48A2E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13614"/>
    <w:multiLevelType w:val="multilevel"/>
    <w:tmpl w:val="BEFC51DA"/>
    <w:lvl w:ilvl="0">
      <w:start w:val="1"/>
      <w:numFmt w:val="decimal"/>
      <w:lvlText w:val="%1."/>
      <w:lvlJc w:val="left"/>
      <w:pPr>
        <w:ind w:left="1080" w:hanging="360"/>
      </w:pPr>
      <w:rPr>
        <w:rFonts w:hint="default"/>
      </w:rPr>
    </w:lvl>
    <w:lvl w:ilvl="1">
      <w:start w:val="10"/>
      <w:numFmt w:val="bullet"/>
      <w:lvlText w:val="-"/>
      <w:lvlJc w:val="left"/>
      <w:pPr>
        <w:ind w:left="2070" w:hanging="360"/>
      </w:pPr>
      <w:rPr>
        <w:rFonts w:ascii="Calibri" w:eastAsiaTheme="minorHAnsi" w:hAnsi="Calibri" w:cs="Calibri"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03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630" w:hanging="1440"/>
      </w:pPr>
      <w:rPr>
        <w:rFonts w:hint="default"/>
      </w:rPr>
    </w:lvl>
    <w:lvl w:ilvl="8">
      <w:start w:val="1"/>
      <w:numFmt w:val="decimal"/>
      <w:isLgl/>
      <w:lvlText w:val="%1.%2.%3.%4.%5.%6.%7.%8.%9"/>
      <w:lvlJc w:val="left"/>
      <w:pPr>
        <w:ind w:left="10710" w:hanging="1440"/>
      </w:pPr>
      <w:rPr>
        <w:rFonts w:hint="default"/>
      </w:rPr>
    </w:lvl>
  </w:abstractNum>
  <w:abstractNum w:abstractNumId="13">
    <w:nsid w:val="78465A74"/>
    <w:multiLevelType w:val="hybridMultilevel"/>
    <w:tmpl w:val="D25CC12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78535DF5"/>
    <w:multiLevelType w:val="hybridMultilevel"/>
    <w:tmpl w:val="7F6CC346"/>
    <w:lvl w:ilvl="0" w:tplc="01349096">
      <w:start w:val="1"/>
      <w:numFmt w:val="decimal"/>
      <w:lvlText w:val="%1."/>
      <w:lvlJc w:val="left"/>
      <w:pPr>
        <w:tabs>
          <w:tab w:val="num" w:pos="720"/>
        </w:tabs>
        <w:ind w:left="720" w:hanging="360"/>
      </w:pPr>
    </w:lvl>
    <w:lvl w:ilvl="1" w:tplc="689A669E" w:tentative="1">
      <w:start w:val="1"/>
      <w:numFmt w:val="decimal"/>
      <w:lvlText w:val="%2."/>
      <w:lvlJc w:val="left"/>
      <w:pPr>
        <w:tabs>
          <w:tab w:val="num" w:pos="1440"/>
        </w:tabs>
        <w:ind w:left="1440" w:hanging="360"/>
      </w:pPr>
    </w:lvl>
    <w:lvl w:ilvl="2" w:tplc="4450286C">
      <w:start w:val="1"/>
      <w:numFmt w:val="decimal"/>
      <w:lvlText w:val="%3."/>
      <w:lvlJc w:val="left"/>
      <w:pPr>
        <w:tabs>
          <w:tab w:val="num" w:pos="2160"/>
        </w:tabs>
        <w:ind w:left="2160" w:hanging="360"/>
      </w:pPr>
    </w:lvl>
    <w:lvl w:ilvl="3" w:tplc="FE2A4D40" w:tentative="1">
      <w:start w:val="1"/>
      <w:numFmt w:val="decimal"/>
      <w:lvlText w:val="%4."/>
      <w:lvlJc w:val="left"/>
      <w:pPr>
        <w:tabs>
          <w:tab w:val="num" w:pos="2880"/>
        </w:tabs>
        <w:ind w:left="2880" w:hanging="360"/>
      </w:pPr>
    </w:lvl>
    <w:lvl w:ilvl="4" w:tplc="2106635C" w:tentative="1">
      <w:start w:val="1"/>
      <w:numFmt w:val="decimal"/>
      <w:lvlText w:val="%5."/>
      <w:lvlJc w:val="left"/>
      <w:pPr>
        <w:tabs>
          <w:tab w:val="num" w:pos="3600"/>
        </w:tabs>
        <w:ind w:left="3600" w:hanging="360"/>
      </w:pPr>
    </w:lvl>
    <w:lvl w:ilvl="5" w:tplc="46AC9490" w:tentative="1">
      <w:start w:val="1"/>
      <w:numFmt w:val="decimal"/>
      <w:lvlText w:val="%6."/>
      <w:lvlJc w:val="left"/>
      <w:pPr>
        <w:tabs>
          <w:tab w:val="num" w:pos="4320"/>
        </w:tabs>
        <w:ind w:left="4320" w:hanging="360"/>
      </w:pPr>
    </w:lvl>
    <w:lvl w:ilvl="6" w:tplc="FC4EF824" w:tentative="1">
      <w:start w:val="1"/>
      <w:numFmt w:val="decimal"/>
      <w:lvlText w:val="%7."/>
      <w:lvlJc w:val="left"/>
      <w:pPr>
        <w:tabs>
          <w:tab w:val="num" w:pos="5040"/>
        </w:tabs>
        <w:ind w:left="5040" w:hanging="360"/>
      </w:pPr>
    </w:lvl>
    <w:lvl w:ilvl="7" w:tplc="1374C362" w:tentative="1">
      <w:start w:val="1"/>
      <w:numFmt w:val="decimal"/>
      <w:lvlText w:val="%8."/>
      <w:lvlJc w:val="left"/>
      <w:pPr>
        <w:tabs>
          <w:tab w:val="num" w:pos="5760"/>
        </w:tabs>
        <w:ind w:left="5760" w:hanging="360"/>
      </w:pPr>
    </w:lvl>
    <w:lvl w:ilvl="8" w:tplc="00FAE24C" w:tentative="1">
      <w:start w:val="1"/>
      <w:numFmt w:val="decimal"/>
      <w:lvlText w:val="%9."/>
      <w:lvlJc w:val="left"/>
      <w:pPr>
        <w:tabs>
          <w:tab w:val="num" w:pos="6480"/>
        </w:tabs>
        <w:ind w:left="6480" w:hanging="360"/>
      </w:pPr>
    </w:lvl>
  </w:abstractNum>
  <w:num w:numId="1">
    <w:abstractNumId w:val="10"/>
  </w:num>
  <w:num w:numId="2">
    <w:abstractNumId w:val="13"/>
  </w:num>
  <w:num w:numId="3">
    <w:abstractNumId w:val="7"/>
  </w:num>
  <w:num w:numId="4">
    <w:abstractNumId w:val="9"/>
  </w:num>
  <w:num w:numId="5">
    <w:abstractNumId w:val="2"/>
  </w:num>
  <w:num w:numId="6">
    <w:abstractNumId w:val="5"/>
  </w:num>
  <w:num w:numId="7">
    <w:abstractNumId w:val="1"/>
  </w:num>
  <w:num w:numId="8">
    <w:abstractNumId w:val="4"/>
  </w:num>
  <w:num w:numId="9">
    <w:abstractNumId w:val="6"/>
  </w:num>
  <w:num w:numId="10">
    <w:abstractNumId w:val="3"/>
  </w:num>
  <w:num w:numId="11">
    <w:abstractNumId w:val="14"/>
  </w:num>
  <w:num w:numId="12">
    <w:abstractNumId w:val="8"/>
  </w:num>
  <w:num w:numId="13">
    <w:abstractNumId w:val="1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C9"/>
    <w:rsid w:val="000323DC"/>
    <w:rsid w:val="00037602"/>
    <w:rsid w:val="00041473"/>
    <w:rsid w:val="00056A46"/>
    <w:rsid w:val="00070223"/>
    <w:rsid w:val="00085AC6"/>
    <w:rsid w:val="000B15AE"/>
    <w:rsid w:val="000B53BB"/>
    <w:rsid w:val="00110327"/>
    <w:rsid w:val="0015379E"/>
    <w:rsid w:val="0016338E"/>
    <w:rsid w:val="00167957"/>
    <w:rsid w:val="00186539"/>
    <w:rsid w:val="00191593"/>
    <w:rsid w:val="0019737E"/>
    <w:rsid w:val="001B08B2"/>
    <w:rsid w:val="001B4C7E"/>
    <w:rsid w:val="001B5402"/>
    <w:rsid w:val="0021782E"/>
    <w:rsid w:val="00296D01"/>
    <w:rsid w:val="002A57B8"/>
    <w:rsid w:val="002A7610"/>
    <w:rsid w:val="002C0C43"/>
    <w:rsid w:val="002C1364"/>
    <w:rsid w:val="002E12F0"/>
    <w:rsid w:val="003017AF"/>
    <w:rsid w:val="00381B9C"/>
    <w:rsid w:val="00381C58"/>
    <w:rsid w:val="003F0A95"/>
    <w:rsid w:val="003F38CA"/>
    <w:rsid w:val="003F56E1"/>
    <w:rsid w:val="004751F7"/>
    <w:rsid w:val="004D1984"/>
    <w:rsid w:val="00592992"/>
    <w:rsid w:val="00597838"/>
    <w:rsid w:val="005A512F"/>
    <w:rsid w:val="005C07D6"/>
    <w:rsid w:val="005C237A"/>
    <w:rsid w:val="005D414D"/>
    <w:rsid w:val="005F1DC9"/>
    <w:rsid w:val="00623EF4"/>
    <w:rsid w:val="0067344A"/>
    <w:rsid w:val="0067550A"/>
    <w:rsid w:val="006761FC"/>
    <w:rsid w:val="006E3E18"/>
    <w:rsid w:val="006F40CF"/>
    <w:rsid w:val="007146B1"/>
    <w:rsid w:val="00721444"/>
    <w:rsid w:val="00733B5E"/>
    <w:rsid w:val="00743278"/>
    <w:rsid w:val="00752EB4"/>
    <w:rsid w:val="0076042D"/>
    <w:rsid w:val="00773FDF"/>
    <w:rsid w:val="0077735A"/>
    <w:rsid w:val="0079268E"/>
    <w:rsid w:val="007A4345"/>
    <w:rsid w:val="007B232B"/>
    <w:rsid w:val="00815C60"/>
    <w:rsid w:val="00823B79"/>
    <w:rsid w:val="00827BF3"/>
    <w:rsid w:val="00841939"/>
    <w:rsid w:val="008618A3"/>
    <w:rsid w:val="008A0C5B"/>
    <w:rsid w:val="008A5B1C"/>
    <w:rsid w:val="008C234E"/>
    <w:rsid w:val="008C2F6A"/>
    <w:rsid w:val="008D3950"/>
    <w:rsid w:val="008E718A"/>
    <w:rsid w:val="00907516"/>
    <w:rsid w:val="009124D8"/>
    <w:rsid w:val="00922870"/>
    <w:rsid w:val="009611F0"/>
    <w:rsid w:val="00962682"/>
    <w:rsid w:val="00965372"/>
    <w:rsid w:val="00974DDA"/>
    <w:rsid w:val="00992C3C"/>
    <w:rsid w:val="009A6595"/>
    <w:rsid w:val="009B1B76"/>
    <w:rsid w:val="009B2225"/>
    <w:rsid w:val="00A01AE6"/>
    <w:rsid w:val="00A57648"/>
    <w:rsid w:val="00A93F4C"/>
    <w:rsid w:val="00AC5F49"/>
    <w:rsid w:val="00AE3878"/>
    <w:rsid w:val="00AE3F8C"/>
    <w:rsid w:val="00B157A9"/>
    <w:rsid w:val="00B32535"/>
    <w:rsid w:val="00B51A41"/>
    <w:rsid w:val="00B5432C"/>
    <w:rsid w:val="00B80630"/>
    <w:rsid w:val="00C26D4D"/>
    <w:rsid w:val="00C4118F"/>
    <w:rsid w:val="00C71EBE"/>
    <w:rsid w:val="00CA0F1F"/>
    <w:rsid w:val="00CD3AEF"/>
    <w:rsid w:val="00CF0FE4"/>
    <w:rsid w:val="00D200D3"/>
    <w:rsid w:val="00D44130"/>
    <w:rsid w:val="00D536D7"/>
    <w:rsid w:val="00D72BA2"/>
    <w:rsid w:val="00D82961"/>
    <w:rsid w:val="00D93AA9"/>
    <w:rsid w:val="00DD14E7"/>
    <w:rsid w:val="00DD2D9E"/>
    <w:rsid w:val="00E13ED1"/>
    <w:rsid w:val="00E52102"/>
    <w:rsid w:val="00E63638"/>
    <w:rsid w:val="00E745EA"/>
    <w:rsid w:val="00E840D3"/>
    <w:rsid w:val="00EF47A2"/>
    <w:rsid w:val="00F30418"/>
    <w:rsid w:val="00F30F7E"/>
    <w:rsid w:val="00F5091C"/>
    <w:rsid w:val="00F7279F"/>
    <w:rsid w:val="00F74387"/>
    <w:rsid w:val="00FA56D6"/>
    <w:rsid w:val="00FD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C9"/>
    <w:pPr>
      <w:ind w:left="720"/>
      <w:contextualSpacing/>
    </w:pPr>
  </w:style>
  <w:style w:type="paragraph" w:styleId="BalloonText">
    <w:name w:val="Balloon Text"/>
    <w:basedOn w:val="Normal"/>
    <w:link w:val="BalloonTextChar"/>
    <w:uiPriority w:val="99"/>
    <w:semiHidden/>
    <w:unhideWhenUsed/>
    <w:rsid w:val="00E6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38"/>
    <w:rPr>
      <w:rFonts w:ascii="Tahoma" w:hAnsi="Tahoma" w:cs="Tahoma"/>
      <w:sz w:val="16"/>
      <w:szCs w:val="16"/>
    </w:rPr>
  </w:style>
  <w:style w:type="character" w:styleId="Hyperlink">
    <w:name w:val="Hyperlink"/>
    <w:basedOn w:val="DefaultParagraphFont"/>
    <w:uiPriority w:val="99"/>
    <w:semiHidden/>
    <w:unhideWhenUsed/>
    <w:rsid w:val="00841939"/>
    <w:rPr>
      <w:color w:val="0000FF"/>
      <w:u w:val="single"/>
    </w:rPr>
  </w:style>
  <w:style w:type="paragraph" w:styleId="EndnoteText">
    <w:name w:val="endnote text"/>
    <w:basedOn w:val="Normal"/>
    <w:link w:val="EndnoteTextChar"/>
    <w:uiPriority w:val="99"/>
    <w:semiHidden/>
    <w:unhideWhenUsed/>
    <w:rsid w:val="000B15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15AE"/>
    <w:rPr>
      <w:sz w:val="20"/>
      <w:szCs w:val="20"/>
    </w:rPr>
  </w:style>
  <w:style w:type="character" w:styleId="EndnoteReference">
    <w:name w:val="endnote reference"/>
    <w:basedOn w:val="DefaultParagraphFont"/>
    <w:uiPriority w:val="99"/>
    <w:semiHidden/>
    <w:unhideWhenUsed/>
    <w:rsid w:val="000B15AE"/>
    <w:rPr>
      <w:vertAlign w:val="superscript"/>
    </w:rPr>
  </w:style>
  <w:style w:type="paragraph" w:styleId="FootnoteText">
    <w:name w:val="footnote text"/>
    <w:basedOn w:val="Normal"/>
    <w:link w:val="FootnoteTextChar"/>
    <w:uiPriority w:val="99"/>
    <w:semiHidden/>
    <w:unhideWhenUsed/>
    <w:rsid w:val="00760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42D"/>
    <w:rPr>
      <w:sz w:val="20"/>
      <w:szCs w:val="20"/>
    </w:rPr>
  </w:style>
  <w:style w:type="character" w:styleId="FootnoteReference">
    <w:name w:val="footnote reference"/>
    <w:basedOn w:val="DefaultParagraphFont"/>
    <w:uiPriority w:val="99"/>
    <w:semiHidden/>
    <w:unhideWhenUsed/>
    <w:rsid w:val="0076042D"/>
    <w:rPr>
      <w:vertAlign w:val="superscript"/>
    </w:rPr>
  </w:style>
  <w:style w:type="paragraph" w:styleId="NormalWeb">
    <w:name w:val="Normal (Web)"/>
    <w:basedOn w:val="Normal"/>
    <w:uiPriority w:val="99"/>
    <w:semiHidden/>
    <w:unhideWhenUsed/>
    <w:rsid w:val="003017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17AF"/>
    <w:rPr>
      <w:i/>
      <w:iCs/>
    </w:rPr>
  </w:style>
  <w:style w:type="character" w:styleId="CommentReference">
    <w:name w:val="annotation reference"/>
    <w:basedOn w:val="DefaultParagraphFont"/>
    <w:uiPriority w:val="99"/>
    <w:semiHidden/>
    <w:unhideWhenUsed/>
    <w:rsid w:val="00A01AE6"/>
    <w:rPr>
      <w:sz w:val="16"/>
      <w:szCs w:val="16"/>
    </w:rPr>
  </w:style>
  <w:style w:type="paragraph" w:styleId="CommentText">
    <w:name w:val="annotation text"/>
    <w:basedOn w:val="Normal"/>
    <w:link w:val="CommentTextChar"/>
    <w:uiPriority w:val="99"/>
    <w:semiHidden/>
    <w:unhideWhenUsed/>
    <w:rsid w:val="00A01AE6"/>
    <w:pPr>
      <w:spacing w:line="240" w:lineRule="auto"/>
    </w:pPr>
    <w:rPr>
      <w:sz w:val="20"/>
      <w:szCs w:val="20"/>
    </w:rPr>
  </w:style>
  <w:style w:type="character" w:customStyle="1" w:styleId="CommentTextChar">
    <w:name w:val="Comment Text Char"/>
    <w:basedOn w:val="DefaultParagraphFont"/>
    <w:link w:val="CommentText"/>
    <w:uiPriority w:val="99"/>
    <w:semiHidden/>
    <w:rsid w:val="00A01AE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C9"/>
    <w:pPr>
      <w:ind w:left="720"/>
      <w:contextualSpacing/>
    </w:pPr>
  </w:style>
  <w:style w:type="paragraph" w:styleId="BalloonText">
    <w:name w:val="Balloon Text"/>
    <w:basedOn w:val="Normal"/>
    <w:link w:val="BalloonTextChar"/>
    <w:uiPriority w:val="99"/>
    <w:semiHidden/>
    <w:unhideWhenUsed/>
    <w:rsid w:val="00E6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38"/>
    <w:rPr>
      <w:rFonts w:ascii="Tahoma" w:hAnsi="Tahoma" w:cs="Tahoma"/>
      <w:sz w:val="16"/>
      <w:szCs w:val="16"/>
    </w:rPr>
  </w:style>
  <w:style w:type="character" w:styleId="Hyperlink">
    <w:name w:val="Hyperlink"/>
    <w:basedOn w:val="DefaultParagraphFont"/>
    <w:uiPriority w:val="99"/>
    <w:semiHidden/>
    <w:unhideWhenUsed/>
    <w:rsid w:val="00841939"/>
    <w:rPr>
      <w:color w:val="0000FF"/>
      <w:u w:val="single"/>
    </w:rPr>
  </w:style>
  <w:style w:type="paragraph" w:styleId="EndnoteText">
    <w:name w:val="endnote text"/>
    <w:basedOn w:val="Normal"/>
    <w:link w:val="EndnoteTextChar"/>
    <w:uiPriority w:val="99"/>
    <w:semiHidden/>
    <w:unhideWhenUsed/>
    <w:rsid w:val="000B15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15AE"/>
    <w:rPr>
      <w:sz w:val="20"/>
      <w:szCs w:val="20"/>
    </w:rPr>
  </w:style>
  <w:style w:type="character" w:styleId="EndnoteReference">
    <w:name w:val="endnote reference"/>
    <w:basedOn w:val="DefaultParagraphFont"/>
    <w:uiPriority w:val="99"/>
    <w:semiHidden/>
    <w:unhideWhenUsed/>
    <w:rsid w:val="000B15AE"/>
    <w:rPr>
      <w:vertAlign w:val="superscript"/>
    </w:rPr>
  </w:style>
  <w:style w:type="paragraph" w:styleId="FootnoteText">
    <w:name w:val="footnote text"/>
    <w:basedOn w:val="Normal"/>
    <w:link w:val="FootnoteTextChar"/>
    <w:uiPriority w:val="99"/>
    <w:semiHidden/>
    <w:unhideWhenUsed/>
    <w:rsid w:val="00760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42D"/>
    <w:rPr>
      <w:sz w:val="20"/>
      <w:szCs w:val="20"/>
    </w:rPr>
  </w:style>
  <w:style w:type="character" w:styleId="FootnoteReference">
    <w:name w:val="footnote reference"/>
    <w:basedOn w:val="DefaultParagraphFont"/>
    <w:uiPriority w:val="99"/>
    <w:semiHidden/>
    <w:unhideWhenUsed/>
    <w:rsid w:val="0076042D"/>
    <w:rPr>
      <w:vertAlign w:val="superscript"/>
    </w:rPr>
  </w:style>
  <w:style w:type="paragraph" w:styleId="NormalWeb">
    <w:name w:val="Normal (Web)"/>
    <w:basedOn w:val="Normal"/>
    <w:uiPriority w:val="99"/>
    <w:semiHidden/>
    <w:unhideWhenUsed/>
    <w:rsid w:val="003017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17AF"/>
    <w:rPr>
      <w:i/>
      <w:iCs/>
    </w:rPr>
  </w:style>
  <w:style w:type="character" w:styleId="CommentReference">
    <w:name w:val="annotation reference"/>
    <w:basedOn w:val="DefaultParagraphFont"/>
    <w:uiPriority w:val="99"/>
    <w:semiHidden/>
    <w:unhideWhenUsed/>
    <w:rsid w:val="00A01AE6"/>
    <w:rPr>
      <w:sz w:val="16"/>
      <w:szCs w:val="16"/>
    </w:rPr>
  </w:style>
  <w:style w:type="paragraph" w:styleId="CommentText">
    <w:name w:val="annotation text"/>
    <w:basedOn w:val="Normal"/>
    <w:link w:val="CommentTextChar"/>
    <w:uiPriority w:val="99"/>
    <w:semiHidden/>
    <w:unhideWhenUsed/>
    <w:rsid w:val="00A01AE6"/>
    <w:pPr>
      <w:spacing w:line="240" w:lineRule="auto"/>
    </w:pPr>
    <w:rPr>
      <w:sz w:val="20"/>
      <w:szCs w:val="20"/>
    </w:rPr>
  </w:style>
  <w:style w:type="character" w:customStyle="1" w:styleId="CommentTextChar">
    <w:name w:val="Comment Text Char"/>
    <w:basedOn w:val="DefaultParagraphFont"/>
    <w:link w:val="CommentText"/>
    <w:uiPriority w:val="99"/>
    <w:semiHidden/>
    <w:rsid w:val="00A01A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7289">
      <w:bodyDiv w:val="1"/>
      <w:marLeft w:val="0"/>
      <w:marRight w:val="0"/>
      <w:marTop w:val="0"/>
      <w:marBottom w:val="0"/>
      <w:divBdr>
        <w:top w:val="none" w:sz="0" w:space="0" w:color="auto"/>
        <w:left w:val="none" w:sz="0" w:space="0" w:color="auto"/>
        <w:bottom w:val="none" w:sz="0" w:space="0" w:color="auto"/>
        <w:right w:val="none" w:sz="0" w:space="0" w:color="auto"/>
      </w:divBdr>
      <w:divsChild>
        <w:div w:id="1252661170">
          <w:marLeft w:val="547"/>
          <w:marRight w:val="0"/>
          <w:marTop w:val="192"/>
          <w:marBottom w:val="240"/>
          <w:divBdr>
            <w:top w:val="none" w:sz="0" w:space="0" w:color="auto"/>
            <w:left w:val="none" w:sz="0" w:space="0" w:color="auto"/>
            <w:bottom w:val="none" w:sz="0" w:space="0" w:color="auto"/>
            <w:right w:val="none" w:sz="0" w:space="0" w:color="auto"/>
          </w:divBdr>
        </w:div>
        <w:div w:id="607591562">
          <w:marLeft w:val="547"/>
          <w:marRight w:val="0"/>
          <w:marTop w:val="192"/>
          <w:marBottom w:val="240"/>
          <w:divBdr>
            <w:top w:val="none" w:sz="0" w:space="0" w:color="auto"/>
            <w:left w:val="none" w:sz="0" w:space="0" w:color="auto"/>
            <w:bottom w:val="none" w:sz="0" w:space="0" w:color="auto"/>
            <w:right w:val="none" w:sz="0" w:space="0" w:color="auto"/>
          </w:divBdr>
        </w:div>
        <w:div w:id="1981303216">
          <w:marLeft w:val="547"/>
          <w:marRight w:val="0"/>
          <w:marTop w:val="192"/>
          <w:marBottom w:val="240"/>
          <w:divBdr>
            <w:top w:val="none" w:sz="0" w:space="0" w:color="auto"/>
            <w:left w:val="none" w:sz="0" w:space="0" w:color="auto"/>
            <w:bottom w:val="none" w:sz="0" w:space="0" w:color="auto"/>
            <w:right w:val="none" w:sz="0" w:space="0" w:color="auto"/>
          </w:divBdr>
        </w:div>
      </w:divsChild>
    </w:div>
    <w:div w:id="731346322">
      <w:bodyDiv w:val="1"/>
      <w:marLeft w:val="0"/>
      <w:marRight w:val="0"/>
      <w:marTop w:val="0"/>
      <w:marBottom w:val="0"/>
      <w:divBdr>
        <w:top w:val="none" w:sz="0" w:space="0" w:color="auto"/>
        <w:left w:val="none" w:sz="0" w:space="0" w:color="auto"/>
        <w:bottom w:val="none" w:sz="0" w:space="0" w:color="auto"/>
        <w:right w:val="none" w:sz="0" w:space="0" w:color="auto"/>
      </w:divBdr>
      <w:divsChild>
        <w:div w:id="650015579">
          <w:marLeft w:val="547"/>
          <w:marRight w:val="0"/>
          <w:marTop w:val="96"/>
          <w:marBottom w:val="240"/>
          <w:divBdr>
            <w:top w:val="none" w:sz="0" w:space="0" w:color="auto"/>
            <w:left w:val="none" w:sz="0" w:space="0" w:color="auto"/>
            <w:bottom w:val="none" w:sz="0" w:space="0" w:color="auto"/>
            <w:right w:val="none" w:sz="0" w:space="0" w:color="auto"/>
          </w:divBdr>
        </w:div>
        <w:div w:id="293952574">
          <w:marLeft w:val="547"/>
          <w:marRight w:val="0"/>
          <w:marTop w:val="96"/>
          <w:marBottom w:val="240"/>
          <w:divBdr>
            <w:top w:val="none" w:sz="0" w:space="0" w:color="auto"/>
            <w:left w:val="none" w:sz="0" w:space="0" w:color="auto"/>
            <w:bottom w:val="none" w:sz="0" w:space="0" w:color="auto"/>
            <w:right w:val="none" w:sz="0" w:space="0" w:color="auto"/>
          </w:divBdr>
        </w:div>
        <w:div w:id="910195760">
          <w:marLeft w:val="547"/>
          <w:marRight w:val="0"/>
          <w:marTop w:val="96"/>
          <w:marBottom w:val="240"/>
          <w:divBdr>
            <w:top w:val="none" w:sz="0" w:space="0" w:color="auto"/>
            <w:left w:val="none" w:sz="0" w:space="0" w:color="auto"/>
            <w:bottom w:val="none" w:sz="0" w:space="0" w:color="auto"/>
            <w:right w:val="none" w:sz="0" w:space="0" w:color="auto"/>
          </w:divBdr>
        </w:div>
        <w:div w:id="412943099">
          <w:marLeft w:val="547"/>
          <w:marRight w:val="0"/>
          <w:marTop w:val="96"/>
          <w:marBottom w:val="240"/>
          <w:divBdr>
            <w:top w:val="none" w:sz="0" w:space="0" w:color="auto"/>
            <w:left w:val="none" w:sz="0" w:space="0" w:color="auto"/>
            <w:bottom w:val="none" w:sz="0" w:space="0" w:color="auto"/>
            <w:right w:val="none" w:sz="0" w:space="0" w:color="auto"/>
          </w:divBdr>
        </w:div>
        <w:div w:id="1287589983">
          <w:marLeft w:val="547"/>
          <w:marRight w:val="0"/>
          <w:marTop w:val="96"/>
          <w:marBottom w:val="240"/>
          <w:divBdr>
            <w:top w:val="none" w:sz="0" w:space="0" w:color="auto"/>
            <w:left w:val="none" w:sz="0" w:space="0" w:color="auto"/>
            <w:bottom w:val="none" w:sz="0" w:space="0" w:color="auto"/>
            <w:right w:val="none" w:sz="0" w:space="0" w:color="auto"/>
          </w:divBdr>
        </w:div>
      </w:divsChild>
    </w:div>
    <w:div w:id="869611068">
      <w:bodyDiv w:val="1"/>
      <w:marLeft w:val="0"/>
      <w:marRight w:val="0"/>
      <w:marTop w:val="0"/>
      <w:marBottom w:val="0"/>
      <w:divBdr>
        <w:top w:val="none" w:sz="0" w:space="0" w:color="auto"/>
        <w:left w:val="none" w:sz="0" w:space="0" w:color="auto"/>
        <w:bottom w:val="none" w:sz="0" w:space="0" w:color="auto"/>
        <w:right w:val="none" w:sz="0" w:space="0" w:color="auto"/>
      </w:divBdr>
    </w:div>
    <w:div w:id="1171680282">
      <w:bodyDiv w:val="1"/>
      <w:marLeft w:val="0"/>
      <w:marRight w:val="0"/>
      <w:marTop w:val="0"/>
      <w:marBottom w:val="0"/>
      <w:divBdr>
        <w:top w:val="none" w:sz="0" w:space="0" w:color="auto"/>
        <w:left w:val="none" w:sz="0" w:space="0" w:color="auto"/>
        <w:bottom w:val="none" w:sz="0" w:space="0" w:color="auto"/>
        <w:right w:val="none" w:sz="0" w:space="0" w:color="auto"/>
      </w:divBdr>
    </w:div>
    <w:div w:id="1523981428">
      <w:bodyDiv w:val="1"/>
      <w:marLeft w:val="0"/>
      <w:marRight w:val="0"/>
      <w:marTop w:val="0"/>
      <w:marBottom w:val="0"/>
      <w:divBdr>
        <w:top w:val="none" w:sz="0" w:space="0" w:color="auto"/>
        <w:left w:val="none" w:sz="0" w:space="0" w:color="auto"/>
        <w:bottom w:val="none" w:sz="0" w:space="0" w:color="auto"/>
        <w:right w:val="none" w:sz="0" w:space="0" w:color="auto"/>
      </w:divBdr>
    </w:div>
    <w:div w:id="20965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6824C-523B-4FAB-ABF9-EC2A0D05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sayef hussain</dc:creator>
  <cp:lastModifiedBy>Zaigham</cp:lastModifiedBy>
  <cp:revision>2</cp:revision>
  <dcterms:created xsi:type="dcterms:W3CDTF">2012-09-18T03:21:00Z</dcterms:created>
  <dcterms:modified xsi:type="dcterms:W3CDTF">2012-09-18T03:21:00Z</dcterms:modified>
</cp:coreProperties>
</file>