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C9" w:rsidRDefault="005F1DC9" w:rsidP="005F1DC9">
      <w:pPr>
        <w:pStyle w:val="ListParagraph"/>
        <w:ind w:left="0"/>
      </w:pPr>
      <w:r>
        <w:t xml:space="preserve">Country Report – </w:t>
      </w:r>
      <w:r w:rsidR="00713325">
        <w:t>Korea</w:t>
      </w:r>
    </w:p>
    <w:p w:rsidR="00E63638" w:rsidRDefault="00E63638" w:rsidP="005F1DC9">
      <w:pPr>
        <w:pStyle w:val="ListParagraph"/>
        <w:ind w:left="0"/>
      </w:pPr>
    </w:p>
    <w:p w:rsidR="00A01AE6" w:rsidRDefault="00A01AE6" w:rsidP="00A01AE6">
      <w:pPr>
        <w:pStyle w:val="ListParagraph"/>
        <w:numPr>
          <w:ilvl w:val="0"/>
          <w:numId w:val="10"/>
        </w:numPr>
      </w:pPr>
      <w:r>
        <w:t>Socio-economic Snapshot</w:t>
      </w:r>
    </w:p>
    <w:p w:rsidR="00A01AE6" w:rsidRDefault="00A01AE6" w:rsidP="00A01AE6">
      <w:pPr>
        <w:pStyle w:val="ListParagraph"/>
        <w:numPr>
          <w:ilvl w:val="1"/>
          <w:numId w:val="10"/>
        </w:numPr>
        <w:ind w:left="2250"/>
      </w:pPr>
      <w:r w:rsidRPr="005124B5">
        <w:t>Population</w:t>
      </w:r>
    </w:p>
    <w:p w:rsidR="00F30F7E" w:rsidRDefault="00F30F7E" w:rsidP="00F30F7E">
      <w:pPr>
        <w:pStyle w:val="ListParagraph"/>
        <w:ind w:left="2250"/>
      </w:pPr>
    </w:p>
    <w:p w:rsidR="008B65E1" w:rsidRDefault="008F27AB" w:rsidP="00F30F7E">
      <w:pPr>
        <w:pStyle w:val="ListParagraph"/>
        <w:ind w:left="2250"/>
      </w:pPr>
      <w:r>
        <w:t>Total population of Republic of Korea, also known as South Korea, is 48,860,500</w:t>
      </w:r>
      <w:r w:rsidR="00B033B2">
        <w:t>. The ethnic getup of the country is homogeneous, except only a</w:t>
      </w:r>
      <w:r w:rsidR="007C41C8">
        <w:t>bout 20,000 Chinese</w:t>
      </w:r>
      <w:r w:rsidR="00B033B2">
        <w:t xml:space="preserve">. The religious </w:t>
      </w:r>
      <w:r w:rsidR="007C41C8">
        <w:t>composition</w:t>
      </w:r>
      <w:r w:rsidR="00B033B2">
        <w:t xml:space="preserve"> </w:t>
      </w:r>
      <w:r w:rsidR="007C41C8">
        <w:t>of the population is</w:t>
      </w:r>
      <w:r w:rsidR="00B033B2">
        <w:t xml:space="preserve"> Christians are 26.3%, Buddhist are 23.2% unknown and none are 50.6%</w:t>
      </w:r>
      <w:r w:rsidR="00AE0D22">
        <w:rPr>
          <w:rStyle w:val="FootnoteReference"/>
        </w:rPr>
        <w:footnoteReference w:id="2"/>
      </w:r>
    </w:p>
    <w:p w:rsidR="00F30F7E" w:rsidRDefault="00F30F7E" w:rsidP="00F30F7E">
      <w:pPr>
        <w:pStyle w:val="ListParagraph"/>
        <w:ind w:left="2250"/>
      </w:pPr>
    </w:p>
    <w:p w:rsidR="00A01AE6" w:rsidRDefault="00A01AE6" w:rsidP="00A01AE6">
      <w:pPr>
        <w:pStyle w:val="ListParagraph"/>
        <w:numPr>
          <w:ilvl w:val="1"/>
          <w:numId w:val="10"/>
        </w:numPr>
        <w:ind w:left="2250"/>
      </w:pPr>
      <w:r w:rsidRPr="005124B5">
        <w:t>Per Capita Income</w:t>
      </w:r>
    </w:p>
    <w:p w:rsidR="00F30F7E" w:rsidRDefault="00F30F7E" w:rsidP="00F30F7E">
      <w:pPr>
        <w:pStyle w:val="ListParagraph"/>
        <w:ind w:left="2250"/>
      </w:pPr>
    </w:p>
    <w:p w:rsidR="00617AE8" w:rsidRDefault="00A51E32" w:rsidP="00F30F7E">
      <w:pPr>
        <w:pStyle w:val="ListParagraph"/>
        <w:ind w:left="2250"/>
      </w:pPr>
      <w:r>
        <w:t>The per capita income of Korea is US $ 22,778</w:t>
      </w:r>
      <w:r w:rsidR="00617AE8">
        <w:t>.</w:t>
      </w:r>
      <w:r w:rsidR="00617AE8">
        <w:rPr>
          <w:rStyle w:val="FootnoteReference"/>
        </w:rPr>
        <w:footnoteReference w:id="3"/>
      </w:r>
    </w:p>
    <w:p w:rsidR="005D414D" w:rsidRDefault="005D414D" w:rsidP="00F30F7E">
      <w:pPr>
        <w:pStyle w:val="ListParagraph"/>
        <w:ind w:left="2250"/>
      </w:pPr>
    </w:p>
    <w:p w:rsidR="00A01AE6" w:rsidRDefault="00A01AE6" w:rsidP="00A01AE6">
      <w:pPr>
        <w:pStyle w:val="ListParagraph"/>
        <w:numPr>
          <w:ilvl w:val="1"/>
          <w:numId w:val="10"/>
        </w:numPr>
        <w:ind w:left="2250"/>
      </w:pPr>
      <w:r>
        <w:t>Affordability</w:t>
      </w:r>
    </w:p>
    <w:p w:rsidR="005D414D" w:rsidRDefault="005D414D" w:rsidP="005D414D">
      <w:pPr>
        <w:pStyle w:val="ListParagraph"/>
        <w:ind w:left="2250"/>
      </w:pPr>
    </w:p>
    <w:p w:rsidR="005D414D" w:rsidRDefault="005A1534" w:rsidP="005A1534">
      <w:pPr>
        <w:pStyle w:val="ListParagraph"/>
        <w:ind w:left="2250"/>
      </w:pPr>
      <w:r>
        <w:t xml:space="preserve">Korea </w:t>
      </w:r>
      <w:r w:rsidR="00A25E20">
        <w:t>is working to develop an</w:t>
      </w:r>
      <w:r>
        <w:t xml:space="preserve"> affordability index known as “Housing Af</w:t>
      </w:r>
      <w:r w:rsidR="00AB3322">
        <w:t>fordability Index” (HAI)</w:t>
      </w:r>
      <w:r>
        <w:t>. HAI is calculated as follows: the mean price of raw data of the national housing price index of Kookmin Bank is used as the representative price of standard house. The mean income of working class in urban area of Korea is used as a standard income. Interest rate quoted from the weighted average mortgage rate of saving banks published by the Bank  of Korea</w:t>
      </w:r>
      <w:r w:rsidR="00A25E20">
        <w:rPr>
          <w:rStyle w:val="FootnoteReference"/>
        </w:rPr>
        <w:footnoteReference w:id="4"/>
      </w:r>
      <w:r w:rsidR="00AB3322">
        <w:t xml:space="preserve"> is used in working of EMIs.</w:t>
      </w:r>
    </w:p>
    <w:p w:rsidR="005D414D" w:rsidRDefault="005D414D" w:rsidP="005D414D">
      <w:pPr>
        <w:pStyle w:val="ListParagraph"/>
        <w:ind w:left="2250"/>
      </w:pPr>
    </w:p>
    <w:p w:rsidR="00A01AE6" w:rsidRDefault="00A01AE6" w:rsidP="00A01AE6">
      <w:pPr>
        <w:pStyle w:val="ListParagraph"/>
        <w:numPr>
          <w:ilvl w:val="0"/>
          <w:numId w:val="10"/>
        </w:numPr>
      </w:pPr>
      <w:r w:rsidRPr="009B1B76">
        <w:rPr>
          <w:highlight w:val="green"/>
        </w:rPr>
        <w:t>Measures</w:t>
      </w:r>
      <w:r>
        <w:t xml:space="preserve"> of Affordability</w:t>
      </w:r>
    </w:p>
    <w:p w:rsidR="00A01AE6" w:rsidRDefault="00A01AE6" w:rsidP="00A01AE6">
      <w:pPr>
        <w:pStyle w:val="ListParagraph"/>
        <w:numPr>
          <w:ilvl w:val="1"/>
          <w:numId w:val="10"/>
        </w:numPr>
        <w:ind w:left="2250"/>
      </w:pPr>
      <w:r>
        <w:t>Income/Repayment/Cost of housing Units</w:t>
      </w:r>
    </w:p>
    <w:p w:rsidR="00925377" w:rsidRDefault="00925377" w:rsidP="00925377">
      <w:pPr>
        <w:pStyle w:val="ListParagraph"/>
        <w:ind w:left="2250"/>
      </w:pPr>
    </w:p>
    <w:p w:rsidR="00925377" w:rsidRDefault="00925377" w:rsidP="00925377">
      <w:pPr>
        <w:pStyle w:val="ListParagraph"/>
        <w:ind w:left="2250"/>
      </w:pPr>
      <w:r>
        <w:t>The Korean Housing Affordability Index will largely follow the formula used in USA and Australia.</w:t>
      </w:r>
      <w:r>
        <w:rPr>
          <w:rStyle w:val="FootnoteReference"/>
        </w:rPr>
        <w:footnoteReference w:id="5"/>
      </w:r>
    </w:p>
    <w:p w:rsidR="00A25E20" w:rsidRDefault="00A25E20" w:rsidP="00A25E20">
      <w:pPr>
        <w:pStyle w:val="ListParagraph"/>
        <w:ind w:left="2250"/>
      </w:pPr>
    </w:p>
    <w:p w:rsidR="00A01AE6" w:rsidRDefault="00A01AE6" w:rsidP="00A01AE6">
      <w:pPr>
        <w:pStyle w:val="ListParagraph"/>
        <w:numPr>
          <w:ilvl w:val="1"/>
          <w:numId w:val="10"/>
        </w:numPr>
        <w:ind w:left="2250"/>
      </w:pPr>
      <w:r>
        <w:t>Any State level Definition of Low-Income Housing</w:t>
      </w:r>
    </w:p>
    <w:p w:rsidR="00B5432C" w:rsidRDefault="00B5432C" w:rsidP="00B5432C">
      <w:pPr>
        <w:pStyle w:val="ListParagraph"/>
        <w:ind w:left="2250"/>
      </w:pPr>
    </w:p>
    <w:p w:rsidR="003571B7" w:rsidRDefault="003571B7" w:rsidP="00E21DBA">
      <w:pPr>
        <w:pStyle w:val="ListParagraph"/>
        <w:ind w:left="2250"/>
      </w:pPr>
      <w:r>
        <w:t xml:space="preserve">Definition of “low income” has gone a huge drastic change in Republic of Korea </w:t>
      </w:r>
      <w:r w:rsidR="00AB3322">
        <w:t>over the last a few decade, as</w:t>
      </w:r>
      <w:r>
        <w:t xml:space="preserve"> the country </w:t>
      </w:r>
      <w:r w:rsidR="00AB3322">
        <w:t>is moving towards</w:t>
      </w:r>
      <w:r>
        <w:t xml:space="preserve"> a high income country from a low income poor country</w:t>
      </w:r>
      <w:r w:rsidR="00AB3322">
        <w:t>.</w:t>
      </w:r>
      <w:r>
        <w:t xml:space="preserve"> </w:t>
      </w:r>
    </w:p>
    <w:p w:rsidR="00E21DBA" w:rsidRDefault="00E21DBA" w:rsidP="00E21DBA">
      <w:pPr>
        <w:pStyle w:val="ListParagraph"/>
        <w:ind w:left="2250"/>
      </w:pPr>
      <w:r>
        <w:t xml:space="preserve">Korea has experienced rapid and sustained economic growth since the 1960s  when South Korea’s gross domestic product (GDP) per capita was comparable </w:t>
      </w:r>
      <w:r>
        <w:lastRenderedPageBreak/>
        <w:t>to levels in the poorer countries of Africa (in 1960 it was US$</w:t>
      </w:r>
      <w:r w:rsidR="00AB3322">
        <w:t xml:space="preserve"> 1,</w:t>
      </w:r>
      <w:r>
        <w:t>110 compared to US$430 for sub-Saharan Africa).</w:t>
      </w:r>
      <w:r>
        <w:rPr>
          <w:rStyle w:val="FootnoteReference"/>
        </w:rPr>
        <w:footnoteReference w:id="6"/>
      </w:r>
    </w:p>
    <w:p w:rsidR="00E21DBA" w:rsidRDefault="00E21DBA" w:rsidP="00E21DBA">
      <w:pPr>
        <w:pStyle w:val="ListParagraph"/>
        <w:ind w:left="2250"/>
      </w:pPr>
    </w:p>
    <w:p w:rsidR="00E21DBA" w:rsidRDefault="00E21DBA" w:rsidP="00E21DBA">
      <w:pPr>
        <w:pStyle w:val="ListParagraph"/>
        <w:ind w:left="2250"/>
      </w:pPr>
      <w:r>
        <w:t xml:space="preserve">Forty-five years after the full-scale, government-led </w:t>
      </w:r>
      <w:r w:rsidR="00AB3322">
        <w:t>industrialization</w:t>
      </w:r>
      <w:r>
        <w:t xml:space="preserve"> drive that started in the early 1960s, South Korea’s GDP per capita had increased more than twelve-fold</w:t>
      </w:r>
      <w:r w:rsidR="00C66085">
        <w:t xml:space="preserve"> to more than US$13 000 in 2005 and to</w:t>
      </w:r>
      <w:r>
        <w:t xml:space="preserve"> U</w:t>
      </w:r>
      <w:r w:rsidR="00C66085">
        <w:t>S$20 050 by</w:t>
      </w:r>
      <w:r>
        <w:t xml:space="preserve"> 2007.</w:t>
      </w:r>
      <w:r>
        <w:rPr>
          <w:rStyle w:val="FootnoteReference"/>
        </w:rPr>
        <w:footnoteReference w:id="7"/>
      </w:r>
    </w:p>
    <w:p w:rsidR="00E21DBA" w:rsidRDefault="00E21DBA" w:rsidP="00E21DBA">
      <w:pPr>
        <w:pStyle w:val="ListParagraph"/>
        <w:ind w:left="2250"/>
      </w:pPr>
    </w:p>
    <w:p w:rsidR="009A4EA0" w:rsidRDefault="008531DA" w:rsidP="00E21DBA">
      <w:pPr>
        <w:pStyle w:val="ListParagraph"/>
        <w:ind w:left="2250"/>
      </w:pPr>
      <w:r>
        <w:t xml:space="preserve">The income equality ratio as taken in </w:t>
      </w:r>
      <w:r w:rsidRPr="008531DA">
        <w:t>Gottschalk and Smeeding (1997)</w:t>
      </w:r>
      <w:r>
        <w:t xml:space="preserve"> </w:t>
      </w:r>
      <w:r w:rsidR="00C66085">
        <w:t xml:space="preserve">has also shows </w:t>
      </w:r>
      <w:r>
        <w:t>a very favourable position among the world’s 19 most developed and high income countries. The unemployment ratio in Korea (2% as against 6.9% in USA), and total dependency ratio of Korea, 54.4% as against Japan’s 54.4% and USA’s 53.5% also places Korea in an enviable position compared to the other developed countries.</w:t>
      </w:r>
      <w:r>
        <w:rPr>
          <w:rStyle w:val="FootnoteReference"/>
        </w:rPr>
        <w:footnoteReference w:id="8"/>
      </w:r>
    </w:p>
    <w:p w:rsidR="008531DA" w:rsidRDefault="008531DA" w:rsidP="00E21DBA">
      <w:pPr>
        <w:pStyle w:val="ListParagraph"/>
        <w:ind w:left="2250"/>
      </w:pPr>
    </w:p>
    <w:p w:rsidR="008531DA" w:rsidRDefault="008531DA" w:rsidP="00E21DBA">
      <w:pPr>
        <w:pStyle w:val="ListParagraph"/>
        <w:ind w:left="2250"/>
      </w:pPr>
    </w:p>
    <w:p w:rsidR="00A01AE6" w:rsidRDefault="00A01AE6" w:rsidP="00A01AE6">
      <w:pPr>
        <w:pStyle w:val="ListParagraph"/>
        <w:numPr>
          <w:ilvl w:val="0"/>
          <w:numId w:val="10"/>
        </w:numPr>
      </w:pPr>
      <w:r>
        <w:t>Housing Finance Institutional Framework:</w:t>
      </w:r>
    </w:p>
    <w:p w:rsidR="009B1B76" w:rsidRDefault="009B1B76" w:rsidP="009B1B76">
      <w:pPr>
        <w:pStyle w:val="ListParagraph"/>
        <w:ind w:left="1080"/>
      </w:pPr>
    </w:p>
    <w:p w:rsidR="00A01AE6" w:rsidRDefault="00A01AE6" w:rsidP="00A01AE6">
      <w:pPr>
        <w:pStyle w:val="ListParagraph"/>
        <w:numPr>
          <w:ilvl w:val="1"/>
          <w:numId w:val="10"/>
        </w:numPr>
        <w:ind w:left="2250"/>
      </w:pPr>
      <w:r w:rsidRPr="009B1C60">
        <w:t xml:space="preserve">Housing </w:t>
      </w:r>
      <w:r>
        <w:t>Finance by Commercial B</w:t>
      </w:r>
      <w:r w:rsidRPr="009B1C60">
        <w:t>anks</w:t>
      </w:r>
    </w:p>
    <w:p w:rsidR="00721444" w:rsidRDefault="00721444" w:rsidP="00721444">
      <w:pPr>
        <w:pStyle w:val="ListParagraph"/>
        <w:ind w:left="2250"/>
      </w:pPr>
    </w:p>
    <w:p w:rsidR="00721444" w:rsidRDefault="00721444" w:rsidP="00721444">
      <w:pPr>
        <w:pStyle w:val="ListParagraph"/>
        <w:ind w:left="2160"/>
      </w:pPr>
    </w:p>
    <w:p w:rsidR="00721444" w:rsidRDefault="00721444" w:rsidP="00721444">
      <w:pPr>
        <w:pStyle w:val="ListParagraph"/>
        <w:ind w:left="2160"/>
      </w:pPr>
    </w:p>
    <w:p w:rsidR="00721444" w:rsidRDefault="00721444" w:rsidP="00721444">
      <w:pPr>
        <w:pStyle w:val="ListParagraph"/>
        <w:ind w:left="2250"/>
      </w:pPr>
    </w:p>
    <w:p w:rsidR="00A01AE6" w:rsidRDefault="00A01AE6" w:rsidP="00A01AE6">
      <w:pPr>
        <w:pStyle w:val="ListParagraph"/>
        <w:numPr>
          <w:ilvl w:val="1"/>
          <w:numId w:val="10"/>
        </w:numPr>
        <w:ind w:left="2250"/>
      </w:pPr>
      <w:r>
        <w:t>Specialized HFIs-Public sector</w:t>
      </w:r>
    </w:p>
    <w:p w:rsidR="000B53BB" w:rsidRDefault="000B53BB" w:rsidP="000B53BB">
      <w:pPr>
        <w:pStyle w:val="ListParagraph"/>
        <w:ind w:left="2250"/>
      </w:pPr>
    </w:p>
    <w:p w:rsidR="000B53BB" w:rsidRDefault="000B53BB" w:rsidP="000B53BB">
      <w:pPr>
        <w:pStyle w:val="ListParagraph"/>
        <w:ind w:left="2250"/>
      </w:pPr>
    </w:p>
    <w:p w:rsidR="00A01AE6" w:rsidRDefault="00A01AE6" w:rsidP="00A01AE6">
      <w:pPr>
        <w:pStyle w:val="ListParagraph"/>
        <w:numPr>
          <w:ilvl w:val="1"/>
          <w:numId w:val="10"/>
        </w:numPr>
        <w:ind w:left="2250"/>
      </w:pPr>
      <w:r>
        <w:t>Specialized HFIs- Private  Sector</w:t>
      </w:r>
    </w:p>
    <w:p w:rsidR="000B53BB" w:rsidRDefault="000B53BB" w:rsidP="000B53BB">
      <w:pPr>
        <w:pStyle w:val="ListParagraph"/>
        <w:ind w:left="2250"/>
      </w:pPr>
    </w:p>
    <w:p w:rsidR="00A01AE6" w:rsidRDefault="00A01AE6" w:rsidP="00A01AE6">
      <w:pPr>
        <w:pStyle w:val="ListParagraph"/>
        <w:numPr>
          <w:ilvl w:val="1"/>
          <w:numId w:val="10"/>
        </w:numPr>
        <w:ind w:left="2250"/>
      </w:pPr>
      <w:r>
        <w:t>Housing Microfinance Institutions</w:t>
      </w:r>
    </w:p>
    <w:p w:rsidR="00B5432C" w:rsidRDefault="00B5432C" w:rsidP="00B5432C">
      <w:pPr>
        <w:pStyle w:val="ListParagraph"/>
        <w:ind w:left="2250"/>
      </w:pPr>
    </w:p>
    <w:p w:rsidR="000B53BB" w:rsidRDefault="000B53BB" w:rsidP="00B5432C">
      <w:pPr>
        <w:pStyle w:val="ListParagraph"/>
        <w:ind w:left="2250"/>
      </w:pPr>
    </w:p>
    <w:p w:rsidR="00A01AE6" w:rsidRDefault="00A01AE6" w:rsidP="00A01AE6">
      <w:pPr>
        <w:pStyle w:val="ListParagraph"/>
        <w:numPr>
          <w:ilvl w:val="0"/>
          <w:numId w:val="10"/>
        </w:numPr>
      </w:pPr>
      <w:r>
        <w:t xml:space="preserve">Housing Finance Options for LIG </w:t>
      </w:r>
    </w:p>
    <w:p w:rsidR="00A01AE6" w:rsidRDefault="00A01AE6" w:rsidP="00A01AE6">
      <w:pPr>
        <w:pStyle w:val="ListParagraph"/>
        <w:ind w:left="1080"/>
      </w:pPr>
      <w:r>
        <w:t>Commercial Banks, Specialized HFIs, HMFIs, and informal sources if any</w:t>
      </w:r>
      <w:r w:rsidR="00C26D4D">
        <w:t>:</w:t>
      </w:r>
    </w:p>
    <w:p w:rsidR="00C26D4D" w:rsidRDefault="00C26D4D" w:rsidP="00A01AE6">
      <w:pPr>
        <w:pStyle w:val="ListParagraph"/>
        <w:ind w:left="1080"/>
      </w:pPr>
    </w:p>
    <w:p w:rsidR="00C26D4D" w:rsidRDefault="00C26D4D" w:rsidP="00C26D4D">
      <w:pPr>
        <w:pStyle w:val="ListParagraph"/>
        <w:ind w:left="1080"/>
      </w:pPr>
    </w:p>
    <w:p w:rsidR="00A01AE6" w:rsidRDefault="00A01AE6" w:rsidP="00A01AE6">
      <w:pPr>
        <w:pStyle w:val="ListParagraph"/>
        <w:numPr>
          <w:ilvl w:val="0"/>
          <w:numId w:val="10"/>
        </w:numPr>
      </w:pPr>
      <w:r>
        <w:t>Regulatory Framework:</w:t>
      </w:r>
    </w:p>
    <w:p w:rsidR="00C26D4D" w:rsidRDefault="00C26D4D" w:rsidP="00C26D4D">
      <w:pPr>
        <w:pStyle w:val="ListParagraph"/>
        <w:ind w:left="1080"/>
      </w:pPr>
    </w:p>
    <w:p w:rsidR="00C26D4D" w:rsidRDefault="00DB46E8" w:rsidP="00DB46E8">
      <w:pPr>
        <w:pStyle w:val="ListParagraph"/>
        <w:ind w:left="1080"/>
      </w:pPr>
      <w:r>
        <w:t xml:space="preserve">South Korea’s secured transactions law permits the taking of security interests in real estate, intangible rights (such as intellectual property), inventory, accounts receivable, and, by </w:t>
      </w:r>
      <w:r>
        <w:lastRenderedPageBreak/>
        <w:t>special acts, aircraft, ships, heavy equipment, and vehicles. Security interests can be taken in property that is in the debtor’s possession. Despite the wide variety of permitted security interests, most secured transactions have been collateralized by real estate. Enforcement of security interests has been effective in South Korea, although it can take up to one year for a creditor to recover collateral. Excepting “extraordinary situations,” the government has respected the rights of secured creditors. Despite the regime’s relative effectiveness and apparent sophistication, the Asian Development Bank has concluded that security interests were not important in managing risk because much of South Korea’s bank lending consisted of policy loans implicitly guaranteed by the government, which obviated the need for collateral</w:t>
      </w:r>
      <w:r>
        <w:rPr>
          <w:rStyle w:val="FootnoteReference"/>
        </w:rPr>
        <w:footnoteReference w:id="9"/>
      </w:r>
      <w:r>
        <w:t>.</w:t>
      </w:r>
    </w:p>
    <w:p w:rsidR="00DB46E8" w:rsidRDefault="00DB46E8" w:rsidP="00DB46E8">
      <w:pPr>
        <w:pStyle w:val="ListParagraph"/>
        <w:ind w:left="1080"/>
      </w:pPr>
    </w:p>
    <w:p w:rsidR="00DB46E8" w:rsidRDefault="00DB46E8" w:rsidP="00DB46E8">
      <w:pPr>
        <w:pStyle w:val="ListParagraph"/>
        <w:ind w:left="1080"/>
      </w:pPr>
    </w:p>
    <w:p w:rsidR="00A01AE6" w:rsidRDefault="00A01AE6" w:rsidP="00A01AE6">
      <w:pPr>
        <w:pStyle w:val="ListParagraph"/>
        <w:numPr>
          <w:ilvl w:val="0"/>
          <w:numId w:val="10"/>
        </w:numPr>
      </w:pPr>
      <w:r>
        <w:t>A summary of prevailing regulatory regime for housing fina</w:t>
      </w:r>
      <w:r w:rsidR="00974DDA">
        <w:t>n</w:t>
      </w:r>
      <w:r>
        <w:t>ce ( Central bank or a special agency), presence of Prudential regulations, Mortgage law, Mortgage Guidelines etc Constraints in Growth of Housing Finance for LIG</w:t>
      </w:r>
    </w:p>
    <w:p w:rsidR="00A01AE6" w:rsidRDefault="00A01AE6" w:rsidP="00A01AE6">
      <w:pPr>
        <w:pStyle w:val="ListParagraph"/>
        <w:ind w:left="1080"/>
      </w:pPr>
      <w:r>
        <w:t>General review</w:t>
      </w:r>
      <w:r w:rsidR="00FA56D6">
        <w:t>:</w:t>
      </w:r>
    </w:p>
    <w:p w:rsidR="00FA56D6" w:rsidRDefault="00FA56D6" w:rsidP="00A01AE6">
      <w:pPr>
        <w:pStyle w:val="ListParagraph"/>
        <w:ind w:left="1080"/>
      </w:pPr>
    </w:p>
    <w:p w:rsidR="00C26D4D" w:rsidRDefault="00661818" w:rsidP="00661818">
      <w:pPr>
        <w:ind w:left="1080"/>
      </w:pPr>
      <w:r>
        <w:t>- NA -</w:t>
      </w:r>
    </w:p>
    <w:p w:rsidR="00C26D4D" w:rsidRDefault="00C26D4D" w:rsidP="00A01AE6">
      <w:pPr>
        <w:pStyle w:val="ListParagraph"/>
        <w:ind w:left="1080"/>
      </w:pPr>
    </w:p>
    <w:p w:rsidR="00A01AE6" w:rsidRDefault="00A01AE6" w:rsidP="00A01AE6">
      <w:pPr>
        <w:pStyle w:val="ListParagraph"/>
        <w:numPr>
          <w:ilvl w:val="0"/>
          <w:numId w:val="10"/>
        </w:numPr>
      </w:pPr>
      <w:r w:rsidRPr="00025F25">
        <w:t>Fiscal Support and Subsidy Programs</w:t>
      </w:r>
      <w:r>
        <w:t>:</w:t>
      </w:r>
    </w:p>
    <w:p w:rsidR="00907516" w:rsidRDefault="00907516" w:rsidP="00907516">
      <w:pPr>
        <w:pStyle w:val="ListParagraph"/>
        <w:ind w:left="1080"/>
      </w:pPr>
    </w:p>
    <w:p w:rsidR="008A5B1C" w:rsidRDefault="008A5B1C" w:rsidP="00907516">
      <w:pPr>
        <w:pStyle w:val="ListParagraph"/>
        <w:ind w:left="1080"/>
      </w:pPr>
    </w:p>
    <w:p w:rsidR="00CD3AEF" w:rsidRDefault="00CD3AEF" w:rsidP="00907516">
      <w:pPr>
        <w:pStyle w:val="ListParagraph"/>
        <w:ind w:left="1080"/>
      </w:pPr>
    </w:p>
    <w:p w:rsidR="00AE3878" w:rsidRDefault="00A01AE6" w:rsidP="00A01AE6">
      <w:pPr>
        <w:pStyle w:val="ListParagraph"/>
        <w:numPr>
          <w:ilvl w:val="0"/>
          <w:numId w:val="10"/>
        </w:numPr>
      </w:pPr>
      <w:r w:rsidRPr="00CD3AEF">
        <w:rPr>
          <w:highlight w:val="green"/>
        </w:rPr>
        <w:t>Any</w:t>
      </w:r>
      <w:r>
        <w:t xml:space="preserve"> State level subsidy program Like Interest Rate Subsidy, T</w:t>
      </w:r>
      <w:r w:rsidR="003F56E1">
        <w:t>a</w:t>
      </w:r>
      <w:r>
        <w:t>x Incentive,</w:t>
      </w:r>
      <w:r w:rsidR="00592992">
        <w:t xml:space="preserve"> </w:t>
      </w:r>
      <w:r>
        <w:t xml:space="preserve">Credit </w:t>
      </w:r>
      <w:r w:rsidR="00592992">
        <w:t>Guarantee</w:t>
      </w:r>
    </w:p>
    <w:p w:rsidR="00AE3878" w:rsidRDefault="00AE3878" w:rsidP="00AE3878">
      <w:pPr>
        <w:pStyle w:val="ListParagraph"/>
        <w:ind w:left="1080"/>
      </w:pPr>
    </w:p>
    <w:p w:rsidR="00A01AE6" w:rsidRDefault="00A01AE6" w:rsidP="00AE3878">
      <w:pPr>
        <w:pStyle w:val="ListParagraph"/>
        <w:ind w:left="1080"/>
      </w:pPr>
      <w:r>
        <w:t xml:space="preserve">  </w:t>
      </w:r>
    </w:p>
    <w:p w:rsidR="00A01AE6" w:rsidRDefault="00A01AE6" w:rsidP="00A01AE6">
      <w:pPr>
        <w:pStyle w:val="ListParagraph"/>
        <w:numPr>
          <w:ilvl w:val="0"/>
          <w:numId w:val="10"/>
        </w:numPr>
      </w:pPr>
      <w:r w:rsidRPr="00CD3AEF">
        <w:rPr>
          <w:highlight w:val="green"/>
        </w:rPr>
        <w:t>Community</w:t>
      </w:r>
      <w:r>
        <w:t xml:space="preserve"> Based Programs for LIH</w:t>
      </w:r>
    </w:p>
    <w:p w:rsidR="00A01AE6" w:rsidRDefault="00A01AE6" w:rsidP="00A01AE6">
      <w:pPr>
        <w:pStyle w:val="ListParagraph"/>
        <w:numPr>
          <w:ilvl w:val="1"/>
          <w:numId w:val="10"/>
        </w:numPr>
        <w:ind w:left="2250"/>
      </w:pPr>
      <w:r w:rsidRPr="000E56DE">
        <w:t>State Level Program</w:t>
      </w:r>
    </w:p>
    <w:p w:rsidR="00A01AE6" w:rsidRDefault="00A01AE6" w:rsidP="00A01AE6">
      <w:pPr>
        <w:pStyle w:val="ListParagraph"/>
        <w:numPr>
          <w:ilvl w:val="1"/>
          <w:numId w:val="10"/>
        </w:numPr>
        <w:ind w:left="2250"/>
      </w:pPr>
      <w:r w:rsidRPr="000E56DE">
        <w:t>NGO Initiatives</w:t>
      </w:r>
    </w:p>
    <w:p w:rsidR="00A01AE6" w:rsidRDefault="00A01AE6" w:rsidP="00A01AE6">
      <w:pPr>
        <w:pStyle w:val="ListParagraph"/>
        <w:ind w:left="1080"/>
      </w:pPr>
      <w:bookmarkStart w:id="0" w:name="_GoBack"/>
      <w:bookmarkEnd w:id="0"/>
    </w:p>
    <w:p w:rsidR="00A01AE6" w:rsidRDefault="00A01AE6" w:rsidP="00A01AE6">
      <w:pPr>
        <w:pStyle w:val="ListParagraph"/>
        <w:numPr>
          <w:ilvl w:val="0"/>
          <w:numId w:val="10"/>
        </w:numPr>
      </w:pPr>
      <w:r w:rsidRPr="001B08B2">
        <w:t>Lessons</w:t>
      </w:r>
      <w:r>
        <w:t xml:space="preserve"> Learned and way forward: Discuss the constraints in growth of LIH finance, steps needed </w:t>
      </w:r>
      <w:r w:rsidR="00C71EBE">
        <w:t>to address them and way forward:</w:t>
      </w:r>
    </w:p>
    <w:p w:rsidR="00A01AE6" w:rsidRDefault="00A01AE6"/>
    <w:sectPr w:rsidR="00A01AE6" w:rsidSect="006267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CCD" w:rsidRDefault="00BE0CCD" w:rsidP="000B15AE">
      <w:pPr>
        <w:spacing w:after="0" w:line="240" w:lineRule="auto"/>
      </w:pPr>
      <w:r>
        <w:separator/>
      </w:r>
    </w:p>
  </w:endnote>
  <w:endnote w:type="continuationSeparator" w:id="1">
    <w:p w:rsidR="00BE0CCD" w:rsidRDefault="00BE0CCD" w:rsidP="000B1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0F" w:rsidRDefault="00A56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629"/>
      <w:docPartObj>
        <w:docPartGallery w:val="Page Numbers (Bottom of Page)"/>
        <w:docPartUnique/>
      </w:docPartObj>
    </w:sdtPr>
    <w:sdtContent>
      <w:p w:rsidR="00250354" w:rsidRDefault="00250354" w:rsidP="00A5660F">
        <w:pPr>
          <w:pStyle w:val="Footer"/>
          <w:pBdr>
            <w:top w:val="single" w:sz="4" w:space="1" w:color="auto"/>
          </w:pBdr>
          <w:jc w:val="right"/>
        </w:pPr>
        <w:fldSimple w:instr=" PAGE   \* MERGEFORMAT ">
          <w:r w:rsidR="00A5660F">
            <w:rPr>
              <w:noProof/>
            </w:rPr>
            <w:t>1</w:t>
          </w:r>
        </w:fldSimple>
      </w:p>
    </w:sdtContent>
  </w:sdt>
  <w:p w:rsidR="00250354" w:rsidRDefault="00250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0F" w:rsidRDefault="00A56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CCD" w:rsidRDefault="00BE0CCD" w:rsidP="000B15AE">
      <w:pPr>
        <w:spacing w:after="0" w:line="240" w:lineRule="auto"/>
      </w:pPr>
      <w:r>
        <w:separator/>
      </w:r>
    </w:p>
  </w:footnote>
  <w:footnote w:type="continuationSeparator" w:id="1">
    <w:p w:rsidR="00BE0CCD" w:rsidRDefault="00BE0CCD" w:rsidP="000B15AE">
      <w:pPr>
        <w:spacing w:after="0" w:line="240" w:lineRule="auto"/>
      </w:pPr>
      <w:r>
        <w:continuationSeparator/>
      </w:r>
    </w:p>
  </w:footnote>
  <w:footnote w:id="2">
    <w:p w:rsidR="00AE0D22" w:rsidRDefault="00AE0D22">
      <w:pPr>
        <w:pStyle w:val="FootnoteText"/>
      </w:pPr>
      <w:r>
        <w:rPr>
          <w:rStyle w:val="FootnoteReference"/>
        </w:rPr>
        <w:footnoteRef/>
      </w:r>
      <w:r>
        <w:t xml:space="preserve"> CIA- World Fact Book</w:t>
      </w:r>
    </w:p>
  </w:footnote>
  <w:footnote w:id="3">
    <w:p w:rsidR="00617AE8" w:rsidRDefault="00617AE8">
      <w:pPr>
        <w:pStyle w:val="FootnoteText"/>
      </w:pPr>
      <w:r>
        <w:rPr>
          <w:rStyle w:val="FootnoteReference"/>
        </w:rPr>
        <w:footnoteRef/>
      </w:r>
      <w:r>
        <w:t xml:space="preserve"> </w:t>
      </w:r>
      <w:r w:rsidR="00AE0D22" w:rsidRPr="002974CE">
        <w:t>http://en.wikipedia.org/wiki/List_of_countries_by_GDP_%28nominal%29_per_capita</w:t>
      </w:r>
    </w:p>
  </w:footnote>
  <w:footnote w:id="4">
    <w:p w:rsidR="00A25E20" w:rsidRDefault="00A25E20">
      <w:pPr>
        <w:pStyle w:val="FootnoteText"/>
      </w:pPr>
      <w:r>
        <w:rPr>
          <w:rStyle w:val="FootnoteReference"/>
        </w:rPr>
        <w:footnoteRef/>
      </w:r>
      <w:r>
        <w:t xml:space="preserve"> Housing Affordability Index in Korea, by Ji, Kyu-Hyun</w:t>
      </w:r>
    </w:p>
  </w:footnote>
  <w:footnote w:id="5">
    <w:p w:rsidR="00925377" w:rsidRDefault="00925377">
      <w:pPr>
        <w:pStyle w:val="FootnoteText"/>
      </w:pPr>
      <w:r>
        <w:rPr>
          <w:rStyle w:val="FootnoteReference"/>
        </w:rPr>
        <w:footnoteRef/>
      </w:r>
      <w:r>
        <w:t xml:space="preserve"> Housing Affordability Index in Korea, by Ji, Kyu-Hyun</w:t>
      </w:r>
    </w:p>
  </w:footnote>
  <w:footnote w:id="6">
    <w:p w:rsidR="00E21DBA" w:rsidRDefault="00E21DBA">
      <w:pPr>
        <w:pStyle w:val="FootnoteText"/>
      </w:pPr>
      <w:r>
        <w:rPr>
          <w:rStyle w:val="FootnoteReference"/>
        </w:rPr>
        <w:footnoteRef/>
      </w:r>
      <w:r>
        <w:t xml:space="preserve"> </w:t>
      </w:r>
      <w:r w:rsidR="008E6E49" w:rsidRPr="008E6E49">
        <w:t>Chapter 4, South Korea, South Korean economic development</w:t>
      </w:r>
      <w:r w:rsidR="008E6E49">
        <w:t>.pdf</w:t>
      </w:r>
    </w:p>
  </w:footnote>
  <w:footnote w:id="7">
    <w:p w:rsidR="00E21DBA" w:rsidRDefault="00E21DBA">
      <w:pPr>
        <w:pStyle w:val="FootnoteText"/>
      </w:pPr>
      <w:r>
        <w:rPr>
          <w:rStyle w:val="FootnoteReference"/>
        </w:rPr>
        <w:footnoteRef/>
      </w:r>
      <w:r>
        <w:t xml:space="preserve"> </w:t>
      </w:r>
      <w:r w:rsidR="008E6E49" w:rsidRPr="008E6E49">
        <w:t>Chapter 4, South Korea, South Korean economic development</w:t>
      </w:r>
      <w:r w:rsidR="008E6E49">
        <w:t>.pdf</w:t>
      </w:r>
    </w:p>
  </w:footnote>
  <w:footnote w:id="8">
    <w:p w:rsidR="008531DA" w:rsidRDefault="008531DA">
      <w:pPr>
        <w:pStyle w:val="FootnoteText"/>
      </w:pPr>
      <w:r>
        <w:rPr>
          <w:rStyle w:val="FootnoteReference"/>
        </w:rPr>
        <w:footnoteRef/>
      </w:r>
      <w:r>
        <w:t xml:space="preserve"> </w:t>
      </w:r>
      <w:r w:rsidRPr="008531DA">
        <w:t>Low</w:t>
      </w:r>
      <w:r>
        <w:t xml:space="preserve"> </w:t>
      </w:r>
      <w:r w:rsidRPr="008531DA">
        <w:t>Inequality</w:t>
      </w:r>
      <w:r>
        <w:t xml:space="preserve"> </w:t>
      </w:r>
      <w:r w:rsidRPr="008531DA">
        <w:t>with</w:t>
      </w:r>
      <w:r>
        <w:t xml:space="preserve"> Low </w:t>
      </w:r>
      <w:r w:rsidRPr="008531DA">
        <w:t>Redistribution</w:t>
      </w:r>
      <w:r>
        <w:t xml:space="preserve"> </w:t>
      </w:r>
      <w:r w:rsidRPr="008531DA">
        <w:t>An</w:t>
      </w:r>
      <w:r>
        <w:t xml:space="preserve"> </w:t>
      </w:r>
      <w:r w:rsidRPr="008531DA">
        <w:t>analysis</w:t>
      </w:r>
      <w:r>
        <w:t xml:space="preserve"> </w:t>
      </w:r>
      <w:r w:rsidRPr="008531DA">
        <w:t>of</w:t>
      </w:r>
      <w:r>
        <w:t xml:space="preserve"> </w:t>
      </w:r>
      <w:r w:rsidRPr="008531DA">
        <w:t>income</w:t>
      </w:r>
      <w:r>
        <w:t xml:space="preserve"> </w:t>
      </w:r>
      <w:r w:rsidRPr="008531DA">
        <w:t>distribution</w:t>
      </w:r>
      <w:r>
        <w:t xml:space="preserve"> </w:t>
      </w:r>
      <w:r w:rsidRPr="008531DA">
        <w:t>in</w:t>
      </w:r>
      <w:r>
        <w:t xml:space="preserve"> </w:t>
      </w:r>
      <w:r w:rsidRPr="008531DA">
        <w:t>Japan,</w:t>
      </w:r>
      <w:r>
        <w:t xml:space="preserve"> </w:t>
      </w:r>
      <w:r w:rsidRPr="008531DA">
        <w:t>South</w:t>
      </w:r>
      <w:r>
        <w:t xml:space="preserve"> </w:t>
      </w:r>
      <w:r w:rsidRPr="008531DA">
        <w:t>Korea</w:t>
      </w:r>
      <w:r>
        <w:t xml:space="preserve"> </w:t>
      </w:r>
      <w:r w:rsidRPr="008531DA">
        <w:t>and</w:t>
      </w:r>
      <w:r>
        <w:t xml:space="preserve"> </w:t>
      </w:r>
      <w:r w:rsidRPr="008531DA">
        <w:t>Taiwan</w:t>
      </w:r>
      <w:r>
        <w:t xml:space="preserve"> </w:t>
      </w:r>
      <w:r w:rsidRPr="008531DA">
        <w:t>compared</w:t>
      </w:r>
      <w:r>
        <w:t xml:space="preserve"> </w:t>
      </w:r>
      <w:r w:rsidRPr="008531DA">
        <w:t>to</w:t>
      </w:r>
      <w:r>
        <w:t xml:space="preserve"> </w:t>
      </w:r>
      <w:r w:rsidRPr="008531DA">
        <w:t>Britain</w:t>
      </w:r>
      <w:r w:rsidR="001E5D14">
        <w:t>.pdf</w:t>
      </w:r>
    </w:p>
  </w:footnote>
  <w:footnote w:id="9">
    <w:p w:rsidR="00DB46E8" w:rsidRDefault="00DB46E8">
      <w:pPr>
        <w:pStyle w:val="FootnoteText"/>
      </w:pPr>
      <w:r>
        <w:rPr>
          <w:rStyle w:val="FootnoteReference"/>
        </w:rPr>
        <w:footnoteRef/>
      </w:r>
      <w:r>
        <w:t xml:space="preserve"> Building the Legal and Regulatory Framework, by John L. Walker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0F" w:rsidRDefault="00A566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54" w:rsidRDefault="00250354" w:rsidP="00A5660F">
    <w:pPr>
      <w:pStyle w:val="ListParagraph"/>
      <w:pBdr>
        <w:bottom w:val="single" w:sz="4" w:space="1" w:color="auto"/>
      </w:pBdr>
      <w:ind w:left="0"/>
      <w:jc w:val="center"/>
    </w:pPr>
    <w:r w:rsidRPr="00250354">
      <w:rPr>
        <w:b/>
        <w:bCs/>
        <w:sz w:val="28"/>
        <w:szCs w:val="28"/>
      </w:rPr>
      <w:t>Country Report – Korea</w:t>
    </w:r>
    <w:r>
      <w:rPr>
        <w:b/>
        <w:bCs/>
        <w:sz w:val="28"/>
        <w:szCs w:val="28"/>
      </w:rPr>
      <w:t xml:space="preserve">- </w:t>
    </w:r>
    <w:r>
      <w:t>139999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0F" w:rsidRDefault="00A566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125"/>
    <w:multiLevelType w:val="multilevel"/>
    <w:tmpl w:val="351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D0A3A"/>
    <w:multiLevelType w:val="multilevel"/>
    <w:tmpl w:val="F01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652E9"/>
    <w:multiLevelType w:val="multilevel"/>
    <w:tmpl w:val="6E203E0E"/>
    <w:lvl w:ilvl="0">
      <w:start w:val="1"/>
      <w:numFmt w:val="decimal"/>
      <w:lvlText w:val="%1."/>
      <w:lvlJc w:val="left"/>
      <w:pPr>
        <w:ind w:left="1080" w:hanging="360"/>
      </w:pPr>
      <w:rPr>
        <w:rFonts w:hint="default"/>
      </w:rPr>
    </w:lvl>
    <w:lvl w:ilvl="1">
      <w:start w:val="1"/>
      <w:numFmt w:val="decimal"/>
      <w:isLgl/>
      <w:lvlText w:val="%1.%2"/>
      <w:lvlJc w:val="left"/>
      <w:pPr>
        <w:ind w:left="207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30" w:hanging="1440"/>
      </w:pPr>
      <w:rPr>
        <w:rFonts w:hint="default"/>
      </w:rPr>
    </w:lvl>
    <w:lvl w:ilvl="8">
      <w:start w:val="1"/>
      <w:numFmt w:val="decimal"/>
      <w:isLgl/>
      <w:lvlText w:val="%1.%2.%3.%4.%5.%6.%7.%8.%9"/>
      <w:lvlJc w:val="left"/>
      <w:pPr>
        <w:ind w:left="10710" w:hanging="1440"/>
      </w:pPr>
      <w:rPr>
        <w:rFonts w:hint="default"/>
      </w:rPr>
    </w:lvl>
  </w:abstractNum>
  <w:abstractNum w:abstractNumId="3">
    <w:nsid w:val="204A5E24"/>
    <w:multiLevelType w:val="multilevel"/>
    <w:tmpl w:val="B7C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C3AB1"/>
    <w:multiLevelType w:val="multilevel"/>
    <w:tmpl w:val="A704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4079B"/>
    <w:multiLevelType w:val="multilevel"/>
    <w:tmpl w:val="05B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53AA9"/>
    <w:multiLevelType w:val="hybridMultilevel"/>
    <w:tmpl w:val="785CBEF2"/>
    <w:lvl w:ilvl="0" w:tplc="DBC4A4DE">
      <w:numFmt w:val="bullet"/>
      <w:lvlText w:val="-"/>
      <w:lvlJc w:val="left"/>
      <w:pPr>
        <w:ind w:left="1530" w:hanging="360"/>
      </w:pPr>
      <w:rPr>
        <w:rFonts w:ascii="Calibri" w:eastAsiaTheme="minorHAnsi"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4886068D"/>
    <w:multiLevelType w:val="multilevel"/>
    <w:tmpl w:val="B7C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B03FBD"/>
    <w:multiLevelType w:val="hybridMultilevel"/>
    <w:tmpl w:val="E92A89F6"/>
    <w:lvl w:ilvl="0" w:tplc="DBC4A4DE">
      <w:numFmt w:val="bullet"/>
      <w:lvlText w:val="-"/>
      <w:lvlJc w:val="left"/>
      <w:pPr>
        <w:ind w:left="2700" w:hanging="360"/>
      </w:pPr>
      <w:rPr>
        <w:rFonts w:ascii="Calibri" w:eastAsiaTheme="minorHAnsi"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5A924C73"/>
    <w:multiLevelType w:val="multilevel"/>
    <w:tmpl w:val="DF6268F8"/>
    <w:lvl w:ilvl="0">
      <w:start w:val="1"/>
      <w:numFmt w:val="decimal"/>
      <w:lvlText w:val="%1."/>
      <w:lvlJc w:val="left"/>
      <w:pPr>
        <w:ind w:left="117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10">
    <w:nsid w:val="78465A74"/>
    <w:multiLevelType w:val="hybridMultilevel"/>
    <w:tmpl w:val="D25CC12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78535DF5"/>
    <w:multiLevelType w:val="hybridMultilevel"/>
    <w:tmpl w:val="7F6CC346"/>
    <w:lvl w:ilvl="0" w:tplc="01349096">
      <w:start w:val="1"/>
      <w:numFmt w:val="decimal"/>
      <w:lvlText w:val="%1."/>
      <w:lvlJc w:val="left"/>
      <w:pPr>
        <w:tabs>
          <w:tab w:val="num" w:pos="720"/>
        </w:tabs>
        <w:ind w:left="720" w:hanging="360"/>
      </w:pPr>
    </w:lvl>
    <w:lvl w:ilvl="1" w:tplc="689A669E" w:tentative="1">
      <w:start w:val="1"/>
      <w:numFmt w:val="decimal"/>
      <w:lvlText w:val="%2."/>
      <w:lvlJc w:val="left"/>
      <w:pPr>
        <w:tabs>
          <w:tab w:val="num" w:pos="1440"/>
        </w:tabs>
        <w:ind w:left="1440" w:hanging="360"/>
      </w:pPr>
    </w:lvl>
    <w:lvl w:ilvl="2" w:tplc="4450286C">
      <w:start w:val="1"/>
      <w:numFmt w:val="decimal"/>
      <w:lvlText w:val="%3."/>
      <w:lvlJc w:val="left"/>
      <w:pPr>
        <w:tabs>
          <w:tab w:val="num" w:pos="2160"/>
        </w:tabs>
        <w:ind w:left="2160" w:hanging="360"/>
      </w:pPr>
    </w:lvl>
    <w:lvl w:ilvl="3" w:tplc="FE2A4D40" w:tentative="1">
      <w:start w:val="1"/>
      <w:numFmt w:val="decimal"/>
      <w:lvlText w:val="%4."/>
      <w:lvlJc w:val="left"/>
      <w:pPr>
        <w:tabs>
          <w:tab w:val="num" w:pos="2880"/>
        </w:tabs>
        <w:ind w:left="2880" w:hanging="360"/>
      </w:pPr>
    </w:lvl>
    <w:lvl w:ilvl="4" w:tplc="2106635C" w:tentative="1">
      <w:start w:val="1"/>
      <w:numFmt w:val="decimal"/>
      <w:lvlText w:val="%5."/>
      <w:lvlJc w:val="left"/>
      <w:pPr>
        <w:tabs>
          <w:tab w:val="num" w:pos="3600"/>
        </w:tabs>
        <w:ind w:left="3600" w:hanging="360"/>
      </w:pPr>
    </w:lvl>
    <w:lvl w:ilvl="5" w:tplc="46AC9490" w:tentative="1">
      <w:start w:val="1"/>
      <w:numFmt w:val="decimal"/>
      <w:lvlText w:val="%6."/>
      <w:lvlJc w:val="left"/>
      <w:pPr>
        <w:tabs>
          <w:tab w:val="num" w:pos="4320"/>
        </w:tabs>
        <w:ind w:left="4320" w:hanging="360"/>
      </w:pPr>
    </w:lvl>
    <w:lvl w:ilvl="6" w:tplc="FC4EF824" w:tentative="1">
      <w:start w:val="1"/>
      <w:numFmt w:val="decimal"/>
      <w:lvlText w:val="%7."/>
      <w:lvlJc w:val="left"/>
      <w:pPr>
        <w:tabs>
          <w:tab w:val="num" w:pos="5040"/>
        </w:tabs>
        <w:ind w:left="5040" w:hanging="360"/>
      </w:pPr>
    </w:lvl>
    <w:lvl w:ilvl="7" w:tplc="1374C362" w:tentative="1">
      <w:start w:val="1"/>
      <w:numFmt w:val="decimal"/>
      <w:lvlText w:val="%8."/>
      <w:lvlJc w:val="left"/>
      <w:pPr>
        <w:tabs>
          <w:tab w:val="num" w:pos="5760"/>
        </w:tabs>
        <w:ind w:left="5760" w:hanging="360"/>
      </w:pPr>
    </w:lvl>
    <w:lvl w:ilvl="8" w:tplc="00FAE24C" w:tentative="1">
      <w:start w:val="1"/>
      <w:numFmt w:val="decimal"/>
      <w:lvlText w:val="%9."/>
      <w:lvlJc w:val="left"/>
      <w:pPr>
        <w:tabs>
          <w:tab w:val="num" w:pos="6480"/>
        </w:tabs>
        <w:ind w:left="6480" w:hanging="360"/>
      </w:pPr>
    </w:lvl>
  </w:abstractNum>
  <w:abstractNum w:abstractNumId="12">
    <w:nsid w:val="7FF76F26"/>
    <w:multiLevelType w:val="hybridMultilevel"/>
    <w:tmpl w:val="FA703B26"/>
    <w:lvl w:ilvl="0" w:tplc="2620EBBA">
      <w:start w:val="19"/>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6"/>
  </w:num>
  <w:num w:numId="4">
    <w:abstractNumId w:val="8"/>
  </w:num>
  <w:num w:numId="5">
    <w:abstractNumId w:val="1"/>
  </w:num>
  <w:num w:numId="6">
    <w:abstractNumId w:val="4"/>
  </w:num>
  <w:num w:numId="7">
    <w:abstractNumId w:val="0"/>
  </w:num>
  <w:num w:numId="8">
    <w:abstractNumId w:val="3"/>
  </w:num>
  <w:num w:numId="9">
    <w:abstractNumId w:val="5"/>
  </w:num>
  <w:num w:numId="10">
    <w:abstractNumId w:val="2"/>
  </w:num>
  <w:num w:numId="11">
    <w:abstractNumId w:val="1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0"/>
    <w:footnote w:id="1"/>
  </w:footnotePr>
  <w:endnotePr>
    <w:endnote w:id="0"/>
    <w:endnote w:id="1"/>
  </w:endnotePr>
  <w:compat/>
  <w:rsids>
    <w:rsidRoot w:val="005F1DC9"/>
    <w:rsid w:val="000323DC"/>
    <w:rsid w:val="00037602"/>
    <w:rsid w:val="00041473"/>
    <w:rsid w:val="00056A46"/>
    <w:rsid w:val="00070223"/>
    <w:rsid w:val="00085AC6"/>
    <w:rsid w:val="000B15AE"/>
    <w:rsid w:val="000B53BB"/>
    <w:rsid w:val="0015379E"/>
    <w:rsid w:val="0016338E"/>
    <w:rsid w:val="00167957"/>
    <w:rsid w:val="00186539"/>
    <w:rsid w:val="00191593"/>
    <w:rsid w:val="001B08B2"/>
    <w:rsid w:val="001E5D14"/>
    <w:rsid w:val="002003C4"/>
    <w:rsid w:val="0021782E"/>
    <w:rsid w:val="00236285"/>
    <w:rsid w:val="00250354"/>
    <w:rsid w:val="00296D01"/>
    <w:rsid w:val="002A7610"/>
    <w:rsid w:val="002E7061"/>
    <w:rsid w:val="003017AF"/>
    <w:rsid w:val="0030762C"/>
    <w:rsid w:val="003571B7"/>
    <w:rsid w:val="003C2BE4"/>
    <w:rsid w:val="003F0A95"/>
    <w:rsid w:val="003F56E1"/>
    <w:rsid w:val="004751F7"/>
    <w:rsid w:val="004D1984"/>
    <w:rsid w:val="00592992"/>
    <w:rsid w:val="00597838"/>
    <w:rsid w:val="005A1534"/>
    <w:rsid w:val="005C07D6"/>
    <w:rsid w:val="005D414D"/>
    <w:rsid w:val="005F1DC9"/>
    <w:rsid w:val="00617AE8"/>
    <w:rsid w:val="00623EF4"/>
    <w:rsid w:val="00626770"/>
    <w:rsid w:val="00661818"/>
    <w:rsid w:val="0067344A"/>
    <w:rsid w:val="006828FE"/>
    <w:rsid w:val="006E0988"/>
    <w:rsid w:val="006E3E18"/>
    <w:rsid w:val="006F3158"/>
    <w:rsid w:val="00713325"/>
    <w:rsid w:val="00721444"/>
    <w:rsid w:val="00733B5E"/>
    <w:rsid w:val="00752EB4"/>
    <w:rsid w:val="0076042D"/>
    <w:rsid w:val="00773FDF"/>
    <w:rsid w:val="0077735A"/>
    <w:rsid w:val="0079268E"/>
    <w:rsid w:val="007B232B"/>
    <w:rsid w:val="007C41C8"/>
    <w:rsid w:val="00823B79"/>
    <w:rsid w:val="00841939"/>
    <w:rsid w:val="00845BFD"/>
    <w:rsid w:val="008531DA"/>
    <w:rsid w:val="008A0C5B"/>
    <w:rsid w:val="008A5B1C"/>
    <w:rsid w:val="008B65E1"/>
    <w:rsid w:val="008C234E"/>
    <w:rsid w:val="008E6E49"/>
    <w:rsid w:val="008F27AB"/>
    <w:rsid w:val="00907516"/>
    <w:rsid w:val="009124D8"/>
    <w:rsid w:val="00925377"/>
    <w:rsid w:val="00954BB9"/>
    <w:rsid w:val="00974DDA"/>
    <w:rsid w:val="00992C3C"/>
    <w:rsid w:val="009A19F1"/>
    <w:rsid w:val="009A4EA0"/>
    <w:rsid w:val="009A6595"/>
    <w:rsid w:val="009B1B76"/>
    <w:rsid w:val="00A01AE6"/>
    <w:rsid w:val="00A25E20"/>
    <w:rsid w:val="00A51E32"/>
    <w:rsid w:val="00A5660F"/>
    <w:rsid w:val="00AB3322"/>
    <w:rsid w:val="00AC5F49"/>
    <w:rsid w:val="00AE0D22"/>
    <w:rsid w:val="00AE3878"/>
    <w:rsid w:val="00AE3F8C"/>
    <w:rsid w:val="00B033B2"/>
    <w:rsid w:val="00B157A9"/>
    <w:rsid w:val="00B5432C"/>
    <w:rsid w:val="00B6002F"/>
    <w:rsid w:val="00BE0CCD"/>
    <w:rsid w:val="00C06479"/>
    <w:rsid w:val="00C26D4D"/>
    <w:rsid w:val="00C4118F"/>
    <w:rsid w:val="00C66085"/>
    <w:rsid w:val="00C71EBE"/>
    <w:rsid w:val="00CD3AEF"/>
    <w:rsid w:val="00D44130"/>
    <w:rsid w:val="00D72BA2"/>
    <w:rsid w:val="00D93AA9"/>
    <w:rsid w:val="00DB46E8"/>
    <w:rsid w:val="00E13ED1"/>
    <w:rsid w:val="00E21DBA"/>
    <w:rsid w:val="00E41B2F"/>
    <w:rsid w:val="00E52102"/>
    <w:rsid w:val="00E63638"/>
    <w:rsid w:val="00E745EA"/>
    <w:rsid w:val="00E840D3"/>
    <w:rsid w:val="00F30F7E"/>
    <w:rsid w:val="00F34115"/>
    <w:rsid w:val="00F5091C"/>
    <w:rsid w:val="00FA56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C9"/>
    <w:pPr>
      <w:ind w:left="720"/>
      <w:contextualSpacing/>
    </w:pPr>
  </w:style>
  <w:style w:type="paragraph" w:styleId="BalloonText">
    <w:name w:val="Balloon Text"/>
    <w:basedOn w:val="Normal"/>
    <w:link w:val="BalloonTextChar"/>
    <w:uiPriority w:val="99"/>
    <w:semiHidden/>
    <w:unhideWhenUsed/>
    <w:rsid w:val="00E6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38"/>
    <w:rPr>
      <w:rFonts w:ascii="Tahoma" w:hAnsi="Tahoma" w:cs="Tahoma"/>
      <w:sz w:val="16"/>
      <w:szCs w:val="16"/>
    </w:rPr>
  </w:style>
  <w:style w:type="character" w:styleId="Hyperlink">
    <w:name w:val="Hyperlink"/>
    <w:basedOn w:val="DefaultParagraphFont"/>
    <w:uiPriority w:val="99"/>
    <w:semiHidden/>
    <w:unhideWhenUsed/>
    <w:rsid w:val="00841939"/>
    <w:rPr>
      <w:color w:val="0000FF"/>
      <w:u w:val="single"/>
    </w:rPr>
  </w:style>
  <w:style w:type="paragraph" w:styleId="EndnoteText">
    <w:name w:val="endnote text"/>
    <w:basedOn w:val="Normal"/>
    <w:link w:val="EndnoteTextChar"/>
    <w:uiPriority w:val="99"/>
    <w:semiHidden/>
    <w:unhideWhenUsed/>
    <w:rsid w:val="000B15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5AE"/>
    <w:rPr>
      <w:sz w:val="20"/>
      <w:szCs w:val="20"/>
    </w:rPr>
  </w:style>
  <w:style w:type="character" w:styleId="EndnoteReference">
    <w:name w:val="endnote reference"/>
    <w:basedOn w:val="DefaultParagraphFont"/>
    <w:uiPriority w:val="99"/>
    <w:semiHidden/>
    <w:unhideWhenUsed/>
    <w:rsid w:val="000B15AE"/>
    <w:rPr>
      <w:vertAlign w:val="superscript"/>
    </w:rPr>
  </w:style>
  <w:style w:type="paragraph" w:styleId="FootnoteText">
    <w:name w:val="footnote text"/>
    <w:basedOn w:val="Normal"/>
    <w:link w:val="FootnoteTextChar"/>
    <w:uiPriority w:val="99"/>
    <w:semiHidden/>
    <w:unhideWhenUsed/>
    <w:rsid w:val="00760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42D"/>
    <w:rPr>
      <w:sz w:val="20"/>
      <w:szCs w:val="20"/>
    </w:rPr>
  </w:style>
  <w:style w:type="character" w:styleId="FootnoteReference">
    <w:name w:val="footnote reference"/>
    <w:basedOn w:val="DefaultParagraphFont"/>
    <w:uiPriority w:val="99"/>
    <w:semiHidden/>
    <w:unhideWhenUsed/>
    <w:rsid w:val="0076042D"/>
    <w:rPr>
      <w:vertAlign w:val="superscript"/>
    </w:rPr>
  </w:style>
  <w:style w:type="paragraph" w:styleId="NormalWeb">
    <w:name w:val="Normal (Web)"/>
    <w:basedOn w:val="Normal"/>
    <w:uiPriority w:val="99"/>
    <w:semiHidden/>
    <w:unhideWhenUsed/>
    <w:rsid w:val="003017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17AF"/>
    <w:rPr>
      <w:i/>
      <w:iCs/>
    </w:rPr>
  </w:style>
  <w:style w:type="character" w:styleId="CommentReference">
    <w:name w:val="annotation reference"/>
    <w:basedOn w:val="DefaultParagraphFont"/>
    <w:uiPriority w:val="99"/>
    <w:semiHidden/>
    <w:unhideWhenUsed/>
    <w:rsid w:val="00A01AE6"/>
    <w:rPr>
      <w:sz w:val="16"/>
      <w:szCs w:val="16"/>
    </w:rPr>
  </w:style>
  <w:style w:type="paragraph" w:styleId="CommentText">
    <w:name w:val="annotation text"/>
    <w:basedOn w:val="Normal"/>
    <w:link w:val="CommentTextChar"/>
    <w:uiPriority w:val="99"/>
    <w:semiHidden/>
    <w:unhideWhenUsed/>
    <w:rsid w:val="00A01AE6"/>
    <w:pPr>
      <w:spacing w:line="240" w:lineRule="auto"/>
    </w:pPr>
    <w:rPr>
      <w:sz w:val="20"/>
      <w:szCs w:val="20"/>
    </w:rPr>
  </w:style>
  <w:style w:type="character" w:customStyle="1" w:styleId="CommentTextChar">
    <w:name w:val="Comment Text Char"/>
    <w:basedOn w:val="DefaultParagraphFont"/>
    <w:link w:val="CommentText"/>
    <w:uiPriority w:val="99"/>
    <w:semiHidden/>
    <w:rsid w:val="00A01AE6"/>
    <w:rPr>
      <w:sz w:val="20"/>
      <w:szCs w:val="20"/>
    </w:rPr>
  </w:style>
  <w:style w:type="paragraph" w:styleId="Header">
    <w:name w:val="header"/>
    <w:basedOn w:val="Normal"/>
    <w:link w:val="HeaderChar"/>
    <w:uiPriority w:val="99"/>
    <w:semiHidden/>
    <w:unhideWhenUsed/>
    <w:rsid w:val="002503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354"/>
  </w:style>
  <w:style w:type="paragraph" w:styleId="Footer">
    <w:name w:val="footer"/>
    <w:basedOn w:val="Normal"/>
    <w:link w:val="FooterChar"/>
    <w:uiPriority w:val="99"/>
    <w:unhideWhenUsed/>
    <w:rsid w:val="0025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C9"/>
    <w:pPr>
      <w:ind w:left="720"/>
      <w:contextualSpacing/>
    </w:pPr>
  </w:style>
  <w:style w:type="paragraph" w:styleId="BalloonText">
    <w:name w:val="Balloon Text"/>
    <w:basedOn w:val="Normal"/>
    <w:link w:val="BalloonTextChar"/>
    <w:uiPriority w:val="99"/>
    <w:semiHidden/>
    <w:unhideWhenUsed/>
    <w:rsid w:val="00E6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38"/>
    <w:rPr>
      <w:rFonts w:ascii="Tahoma" w:hAnsi="Tahoma" w:cs="Tahoma"/>
      <w:sz w:val="16"/>
      <w:szCs w:val="16"/>
    </w:rPr>
  </w:style>
  <w:style w:type="character" w:styleId="Hyperlink">
    <w:name w:val="Hyperlink"/>
    <w:basedOn w:val="DefaultParagraphFont"/>
    <w:uiPriority w:val="99"/>
    <w:semiHidden/>
    <w:unhideWhenUsed/>
    <w:rsid w:val="00841939"/>
    <w:rPr>
      <w:color w:val="0000FF"/>
      <w:u w:val="single"/>
    </w:rPr>
  </w:style>
  <w:style w:type="paragraph" w:styleId="EndnoteText">
    <w:name w:val="endnote text"/>
    <w:basedOn w:val="Normal"/>
    <w:link w:val="EndnoteTextChar"/>
    <w:uiPriority w:val="99"/>
    <w:semiHidden/>
    <w:unhideWhenUsed/>
    <w:rsid w:val="000B15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5AE"/>
    <w:rPr>
      <w:sz w:val="20"/>
      <w:szCs w:val="20"/>
    </w:rPr>
  </w:style>
  <w:style w:type="character" w:styleId="EndnoteReference">
    <w:name w:val="endnote reference"/>
    <w:basedOn w:val="DefaultParagraphFont"/>
    <w:uiPriority w:val="99"/>
    <w:semiHidden/>
    <w:unhideWhenUsed/>
    <w:rsid w:val="000B15AE"/>
    <w:rPr>
      <w:vertAlign w:val="superscript"/>
    </w:rPr>
  </w:style>
  <w:style w:type="paragraph" w:styleId="FootnoteText">
    <w:name w:val="footnote text"/>
    <w:basedOn w:val="Normal"/>
    <w:link w:val="FootnoteTextChar"/>
    <w:uiPriority w:val="99"/>
    <w:semiHidden/>
    <w:unhideWhenUsed/>
    <w:rsid w:val="00760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42D"/>
    <w:rPr>
      <w:sz w:val="20"/>
      <w:szCs w:val="20"/>
    </w:rPr>
  </w:style>
  <w:style w:type="character" w:styleId="FootnoteReference">
    <w:name w:val="footnote reference"/>
    <w:basedOn w:val="DefaultParagraphFont"/>
    <w:uiPriority w:val="99"/>
    <w:semiHidden/>
    <w:unhideWhenUsed/>
    <w:rsid w:val="0076042D"/>
    <w:rPr>
      <w:vertAlign w:val="superscript"/>
    </w:rPr>
  </w:style>
  <w:style w:type="paragraph" w:styleId="NormalWeb">
    <w:name w:val="Normal (Web)"/>
    <w:basedOn w:val="Normal"/>
    <w:uiPriority w:val="99"/>
    <w:semiHidden/>
    <w:unhideWhenUsed/>
    <w:rsid w:val="003017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17AF"/>
    <w:rPr>
      <w:i/>
      <w:iCs/>
    </w:rPr>
  </w:style>
  <w:style w:type="character" w:styleId="CommentReference">
    <w:name w:val="annotation reference"/>
    <w:basedOn w:val="DefaultParagraphFont"/>
    <w:uiPriority w:val="99"/>
    <w:semiHidden/>
    <w:unhideWhenUsed/>
    <w:rsid w:val="00A01AE6"/>
    <w:rPr>
      <w:sz w:val="16"/>
      <w:szCs w:val="16"/>
    </w:rPr>
  </w:style>
  <w:style w:type="paragraph" w:styleId="CommentText">
    <w:name w:val="annotation text"/>
    <w:basedOn w:val="Normal"/>
    <w:link w:val="CommentTextChar"/>
    <w:uiPriority w:val="99"/>
    <w:semiHidden/>
    <w:unhideWhenUsed/>
    <w:rsid w:val="00A01AE6"/>
    <w:pPr>
      <w:spacing w:line="240" w:lineRule="auto"/>
    </w:pPr>
    <w:rPr>
      <w:sz w:val="20"/>
      <w:szCs w:val="20"/>
    </w:rPr>
  </w:style>
  <w:style w:type="character" w:customStyle="1" w:styleId="CommentTextChar">
    <w:name w:val="Comment Text Char"/>
    <w:basedOn w:val="DefaultParagraphFont"/>
    <w:link w:val="CommentText"/>
    <w:uiPriority w:val="99"/>
    <w:semiHidden/>
    <w:rsid w:val="00A01AE6"/>
    <w:rPr>
      <w:sz w:val="20"/>
      <w:szCs w:val="20"/>
    </w:rPr>
  </w:style>
</w:styles>
</file>

<file path=word/webSettings.xml><?xml version="1.0" encoding="utf-8"?>
<w:webSettings xmlns:r="http://schemas.openxmlformats.org/officeDocument/2006/relationships" xmlns:w="http://schemas.openxmlformats.org/wordprocessingml/2006/main">
  <w:divs>
    <w:div w:id="310017289">
      <w:bodyDiv w:val="1"/>
      <w:marLeft w:val="0"/>
      <w:marRight w:val="0"/>
      <w:marTop w:val="0"/>
      <w:marBottom w:val="0"/>
      <w:divBdr>
        <w:top w:val="none" w:sz="0" w:space="0" w:color="auto"/>
        <w:left w:val="none" w:sz="0" w:space="0" w:color="auto"/>
        <w:bottom w:val="none" w:sz="0" w:space="0" w:color="auto"/>
        <w:right w:val="none" w:sz="0" w:space="0" w:color="auto"/>
      </w:divBdr>
      <w:divsChild>
        <w:div w:id="1252661170">
          <w:marLeft w:val="547"/>
          <w:marRight w:val="0"/>
          <w:marTop w:val="192"/>
          <w:marBottom w:val="240"/>
          <w:divBdr>
            <w:top w:val="none" w:sz="0" w:space="0" w:color="auto"/>
            <w:left w:val="none" w:sz="0" w:space="0" w:color="auto"/>
            <w:bottom w:val="none" w:sz="0" w:space="0" w:color="auto"/>
            <w:right w:val="none" w:sz="0" w:space="0" w:color="auto"/>
          </w:divBdr>
        </w:div>
        <w:div w:id="607591562">
          <w:marLeft w:val="547"/>
          <w:marRight w:val="0"/>
          <w:marTop w:val="192"/>
          <w:marBottom w:val="240"/>
          <w:divBdr>
            <w:top w:val="none" w:sz="0" w:space="0" w:color="auto"/>
            <w:left w:val="none" w:sz="0" w:space="0" w:color="auto"/>
            <w:bottom w:val="none" w:sz="0" w:space="0" w:color="auto"/>
            <w:right w:val="none" w:sz="0" w:space="0" w:color="auto"/>
          </w:divBdr>
        </w:div>
        <w:div w:id="1981303216">
          <w:marLeft w:val="547"/>
          <w:marRight w:val="0"/>
          <w:marTop w:val="192"/>
          <w:marBottom w:val="240"/>
          <w:divBdr>
            <w:top w:val="none" w:sz="0" w:space="0" w:color="auto"/>
            <w:left w:val="none" w:sz="0" w:space="0" w:color="auto"/>
            <w:bottom w:val="none" w:sz="0" w:space="0" w:color="auto"/>
            <w:right w:val="none" w:sz="0" w:space="0" w:color="auto"/>
          </w:divBdr>
        </w:div>
      </w:divsChild>
    </w:div>
    <w:div w:id="869611068">
      <w:bodyDiv w:val="1"/>
      <w:marLeft w:val="0"/>
      <w:marRight w:val="0"/>
      <w:marTop w:val="0"/>
      <w:marBottom w:val="0"/>
      <w:divBdr>
        <w:top w:val="none" w:sz="0" w:space="0" w:color="auto"/>
        <w:left w:val="none" w:sz="0" w:space="0" w:color="auto"/>
        <w:bottom w:val="none" w:sz="0" w:space="0" w:color="auto"/>
        <w:right w:val="none" w:sz="0" w:space="0" w:color="auto"/>
      </w:divBdr>
    </w:div>
    <w:div w:id="1171680282">
      <w:bodyDiv w:val="1"/>
      <w:marLeft w:val="0"/>
      <w:marRight w:val="0"/>
      <w:marTop w:val="0"/>
      <w:marBottom w:val="0"/>
      <w:divBdr>
        <w:top w:val="none" w:sz="0" w:space="0" w:color="auto"/>
        <w:left w:val="none" w:sz="0" w:space="0" w:color="auto"/>
        <w:bottom w:val="none" w:sz="0" w:space="0" w:color="auto"/>
        <w:right w:val="none" w:sz="0" w:space="0" w:color="auto"/>
      </w:divBdr>
    </w:div>
    <w:div w:id="1523981428">
      <w:bodyDiv w:val="1"/>
      <w:marLeft w:val="0"/>
      <w:marRight w:val="0"/>
      <w:marTop w:val="0"/>
      <w:marBottom w:val="0"/>
      <w:divBdr>
        <w:top w:val="none" w:sz="0" w:space="0" w:color="auto"/>
        <w:left w:val="none" w:sz="0" w:space="0" w:color="auto"/>
        <w:bottom w:val="none" w:sz="0" w:space="0" w:color="auto"/>
        <w:right w:val="none" w:sz="0" w:space="0" w:color="auto"/>
      </w:divBdr>
    </w:div>
    <w:div w:id="20965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870B-73E7-4522-8174-3F607642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sayef hussain</dc:creator>
  <cp:lastModifiedBy>www</cp:lastModifiedBy>
  <cp:revision>3</cp:revision>
  <dcterms:created xsi:type="dcterms:W3CDTF">2016-03-11T12:34:00Z</dcterms:created>
  <dcterms:modified xsi:type="dcterms:W3CDTF">2016-03-11T12:35:00Z</dcterms:modified>
</cp:coreProperties>
</file>