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Arial Narrow" w:eastAsiaTheme="majorEastAsia" w:hAnsi="Arial Narrow" w:cs="Arial"/>
        </w:rPr>
        <w:id w:val="30393827"/>
        <w:docPartObj>
          <w:docPartGallery w:val="Cover Pages"/>
          <w:docPartUnique/>
        </w:docPartObj>
      </w:sdtPr>
      <w:sdtEndPr>
        <w:rPr>
          <w:sz w:val="44"/>
          <w:szCs w:val="44"/>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816"/>
          </w:tblGrid>
          <w:tr w:rsidR="00AC6FB1" w:rsidRPr="00230308">
            <w:sdt>
              <w:sdtPr>
                <w:rPr>
                  <w:rFonts w:ascii="Arial Narrow" w:eastAsiaTheme="majorEastAsia" w:hAnsi="Arial Narrow" w:cs="Arial"/>
                </w:rPr>
                <w:alias w:val="Company"/>
                <w:id w:val="13406915"/>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rsidR="00AC6FB1" w:rsidRPr="00230308" w:rsidRDefault="002B512B">
                    <w:pPr>
                      <w:pStyle w:val="NoSpacing"/>
                      <w:rPr>
                        <w:rFonts w:ascii="Arial Narrow" w:eastAsiaTheme="majorEastAsia" w:hAnsi="Arial Narrow" w:cs="Arial"/>
                      </w:rPr>
                    </w:pPr>
                    <w:r>
                      <w:rPr>
                        <w:rFonts w:ascii="Arial Narrow" w:eastAsiaTheme="majorEastAsia" w:hAnsi="Arial Narrow" w:cs="Arial"/>
                      </w:rPr>
                      <w:t>MONGOLIAN MORTGAGE CORPORATION LLC</w:t>
                    </w:r>
                  </w:p>
                </w:tc>
              </w:sdtContent>
            </w:sdt>
          </w:tr>
          <w:tr w:rsidR="00AC6FB1" w:rsidRPr="00230308">
            <w:tc>
              <w:tcPr>
                <w:tcW w:w="7672" w:type="dxa"/>
              </w:tcPr>
              <w:sdt>
                <w:sdtPr>
                  <w:rPr>
                    <w:rFonts w:ascii="Arial Narrow" w:eastAsiaTheme="majorEastAsia" w:hAnsi="Arial Narrow" w:cs="Arial"/>
                    <w:sz w:val="40"/>
                    <w:szCs w:val="4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AC6FB1" w:rsidRPr="00230308" w:rsidRDefault="00AC6FB1">
                    <w:pPr>
                      <w:pStyle w:val="NoSpacing"/>
                      <w:rPr>
                        <w:rFonts w:ascii="Arial Narrow" w:eastAsiaTheme="majorEastAsia" w:hAnsi="Arial Narrow" w:cs="Arial"/>
                        <w:sz w:val="80"/>
                        <w:szCs w:val="80"/>
                      </w:rPr>
                    </w:pPr>
                    <w:r w:rsidRPr="00230308">
                      <w:rPr>
                        <w:rFonts w:ascii="Arial Narrow" w:eastAsiaTheme="majorEastAsia" w:hAnsi="Arial Narrow" w:cs="Arial"/>
                        <w:sz w:val="40"/>
                        <w:szCs w:val="40"/>
                      </w:rPr>
                      <w:t>ISSUES AND CHALLENGES OF MONGOLIAN MORTGAGE MARKET</w:t>
                    </w:r>
                  </w:p>
                </w:sdtContent>
              </w:sdt>
            </w:tc>
          </w:tr>
          <w:tr w:rsidR="00AC6FB1" w:rsidRPr="00230308">
            <w:tc>
              <w:tcPr>
                <w:tcW w:w="7672" w:type="dxa"/>
                <w:tcMar>
                  <w:top w:w="216" w:type="dxa"/>
                  <w:left w:w="115" w:type="dxa"/>
                  <w:bottom w:w="216" w:type="dxa"/>
                  <w:right w:w="115" w:type="dxa"/>
                </w:tcMar>
              </w:tcPr>
              <w:p w:rsidR="00AC6FB1" w:rsidRPr="00230308" w:rsidRDefault="00AC6FB1" w:rsidP="00D853AD">
                <w:pPr>
                  <w:pStyle w:val="NoSpacing"/>
                  <w:rPr>
                    <w:rFonts w:ascii="Arial Narrow" w:eastAsiaTheme="majorEastAsia" w:hAnsi="Arial Narrow" w:cs="Arial"/>
                  </w:rPr>
                </w:pPr>
              </w:p>
            </w:tc>
          </w:tr>
        </w:tbl>
        <w:p w:rsidR="00AC6FB1" w:rsidRPr="00AC6FB1" w:rsidRDefault="00712BAA">
          <w:pPr>
            <w:rPr>
              <w:rFonts w:ascii="Arial Narrow" w:hAnsi="Arial Narrow" w:cs="Arial"/>
            </w:rPr>
          </w:pPr>
          <w:r>
            <w:rPr>
              <w:rFonts w:ascii="Arial Narrow" w:hAnsi="Arial Narrow" w:cs="Arial"/>
              <w:noProof/>
            </w:rPr>
            <w:drawing>
              <wp:inline distT="0" distB="0" distL="0" distR="0">
                <wp:extent cx="5943600" cy="695325"/>
                <wp:effectExtent l="19050" t="0" r="0" b="0"/>
                <wp:docPr id="3" name="Picture 1" descr="D:\Mongolian Mortgage Corporation\MIK LOGO\MI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ongolian Mortgage Corporation\MIK LOGO\MIK Logo.jpg"/>
                        <pic:cNvPicPr>
                          <a:picLocks noChangeAspect="1" noChangeArrowheads="1"/>
                        </pic:cNvPicPr>
                      </pic:nvPicPr>
                      <pic:blipFill>
                        <a:blip r:embed="rId10"/>
                        <a:srcRect/>
                        <a:stretch>
                          <a:fillRect/>
                        </a:stretch>
                      </pic:blipFill>
                      <pic:spPr bwMode="auto">
                        <a:xfrm>
                          <a:off x="0" y="0"/>
                          <a:ext cx="5943600" cy="695325"/>
                        </a:xfrm>
                        <a:prstGeom prst="rect">
                          <a:avLst/>
                        </a:prstGeom>
                        <a:noFill/>
                        <a:ln w="9525">
                          <a:noFill/>
                          <a:miter lim="800000"/>
                          <a:headEnd/>
                          <a:tailEnd/>
                        </a:ln>
                      </pic:spPr>
                    </pic:pic>
                  </a:graphicData>
                </a:graphic>
              </wp:inline>
            </w:drawing>
          </w:r>
        </w:p>
        <w:p w:rsidR="00AC6FB1" w:rsidRPr="00AC6FB1" w:rsidRDefault="00AC6FB1">
          <w:pPr>
            <w:rPr>
              <w:rFonts w:ascii="Arial Narrow" w:hAnsi="Arial Narrow" w:cs="Arial"/>
            </w:rPr>
          </w:pPr>
        </w:p>
        <w:tbl>
          <w:tblPr>
            <w:tblpPr w:leftFromText="187" w:rightFromText="187" w:horzAnchor="margin" w:tblpXSpec="center" w:tblpYSpec="bottom"/>
            <w:tblW w:w="4000" w:type="pct"/>
            <w:tblLook w:val="04A0" w:firstRow="1" w:lastRow="0" w:firstColumn="1" w:lastColumn="0" w:noHBand="0" w:noVBand="1"/>
          </w:tblPr>
          <w:tblGrid>
            <w:gridCol w:w="7816"/>
          </w:tblGrid>
          <w:tr w:rsidR="00AC6FB1" w:rsidRPr="00D853AD">
            <w:tc>
              <w:tcPr>
                <w:tcW w:w="7672" w:type="dxa"/>
                <w:tcMar>
                  <w:top w:w="216" w:type="dxa"/>
                  <w:left w:w="115" w:type="dxa"/>
                  <w:bottom w:w="216" w:type="dxa"/>
                  <w:right w:w="115" w:type="dxa"/>
                </w:tcMar>
              </w:tcPr>
              <w:p w:rsidR="00AC6FB1" w:rsidRPr="00D853AD" w:rsidRDefault="00860C65">
                <w:pPr>
                  <w:pStyle w:val="NoSpacing"/>
                  <w:rPr>
                    <w:rFonts w:ascii="Arial Narrow" w:hAnsi="Arial Narrow" w:cs="Arial"/>
                  </w:rPr>
                </w:pPr>
                <w:r w:rsidRPr="00D853AD">
                  <w:rPr>
                    <w:rFonts w:ascii="Arial Narrow" w:hAnsi="Arial Narrow" w:cs="Arial"/>
                  </w:rPr>
                  <w:t xml:space="preserve">Prepared by : </w:t>
                </w:r>
                <w:r w:rsidR="00E3604A" w:rsidRPr="00D853AD">
                  <w:rPr>
                    <w:rFonts w:ascii="Arial Narrow" w:hAnsi="Arial Narrow" w:cs="Arial"/>
                  </w:rPr>
                  <w:t xml:space="preserve">Enkhbayar Tsedendorj </w:t>
                </w:r>
              </w:p>
              <w:sdt>
                <w:sdtPr>
                  <w:rPr>
                    <w:rFonts w:ascii="Arial Narrow" w:hAnsi="Arial Narrow" w:cs="Arial"/>
                  </w:rPr>
                  <w:alias w:val="Date"/>
                  <w:id w:val="13406932"/>
                  <w:dataBinding w:prefixMappings="xmlns:ns0='http://schemas.microsoft.com/office/2006/coverPageProps'" w:xpath="/ns0:CoverPageProperties[1]/ns0:PublishDate[1]" w:storeItemID="{55AF091B-3C7A-41E3-B477-F2FDAA23CFDA}"/>
                  <w:date w:fullDate="2012-08-06T00:00:00Z">
                    <w:dateFormat w:val="M/d/yyyy"/>
                    <w:lid w:val="en-US"/>
                    <w:storeMappedDataAs w:val="dateTime"/>
                    <w:calendar w:val="gregorian"/>
                  </w:date>
                </w:sdtPr>
                <w:sdtEndPr/>
                <w:sdtContent>
                  <w:p w:rsidR="00AC6FB1" w:rsidRPr="00D853AD" w:rsidRDefault="00596A3D">
                    <w:pPr>
                      <w:pStyle w:val="NoSpacing"/>
                      <w:rPr>
                        <w:rFonts w:ascii="Arial Narrow" w:hAnsi="Arial Narrow" w:cs="Arial"/>
                      </w:rPr>
                    </w:pPr>
                    <w:r>
                      <w:rPr>
                        <w:rFonts w:ascii="Arial Narrow" w:hAnsi="Arial Narrow" w:cs="Arial"/>
                      </w:rPr>
                      <w:t>8/6/2012</w:t>
                    </w:r>
                  </w:p>
                </w:sdtContent>
              </w:sdt>
              <w:p w:rsidR="00AC6FB1" w:rsidRPr="00D853AD" w:rsidRDefault="00AC6FB1">
                <w:pPr>
                  <w:pStyle w:val="NoSpacing"/>
                  <w:rPr>
                    <w:rFonts w:ascii="Arial Narrow" w:hAnsi="Arial Narrow" w:cs="Arial"/>
                  </w:rPr>
                </w:pPr>
              </w:p>
            </w:tc>
          </w:tr>
        </w:tbl>
        <w:p w:rsidR="00AC6FB1" w:rsidRPr="00D853AD" w:rsidRDefault="00AC6FB1">
          <w:pPr>
            <w:rPr>
              <w:rFonts w:ascii="Arial Narrow" w:hAnsi="Arial Narrow" w:cs="Arial"/>
            </w:rPr>
          </w:pPr>
        </w:p>
        <w:p w:rsidR="00665CEA" w:rsidRDefault="00AC6FB1" w:rsidP="000A4601">
          <w:pPr>
            <w:spacing w:line="240" w:lineRule="auto"/>
            <w:rPr>
              <w:rFonts w:ascii="Arial Narrow" w:eastAsiaTheme="majorEastAsia" w:hAnsi="Arial Narrow" w:cs="Arial"/>
              <w:sz w:val="44"/>
              <w:szCs w:val="44"/>
            </w:rPr>
          </w:pPr>
          <w:r w:rsidRPr="00AC6FB1">
            <w:rPr>
              <w:rFonts w:ascii="Arial Narrow" w:eastAsiaTheme="majorEastAsia" w:hAnsi="Arial Narrow" w:cs="Arial"/>
              <w:sz w:val="44"/>
              <w:szCs w:val="44"/>
            </w:rPr>
            <w:br w:type="page"/>
          </w:r>
        </w:p>
      </w:sdtContent>
    </w:sdt>
    <w:p w:rsidR="009B20BB" w:rsidRPr="00665CEA" w:rsidRDefault="005920B0" w:rsidP="000A4601">
      <w:pPr>
        <w:spacing w:line="240" w:lineRule="auto"/>
        <w:jc w:val="both"/>
        <w:rPr>
          <w:rFonts w:ascii="Arial Narrow" w:eastAsiaTheme="majorEastAsia" w:hAnsi="Arial Narrow" w:cs="Arial"/>
          <w:sz w:val="44"/>
          <w:szCs w:val="44"/>
        </w:rPr>
      </w:pPr>
      <w:r w:rsidRPr="00AC6FB1">
        <w:rPr>
          <w:rFonts w:ascii="Arial Narrow" w:hAnsi="Arial Narrow" w:cs="Arial"/>
          <w:sz w:val="24"/>
          <w:szCs w:val="24"/>
          <w:lang w:bidi="bo-CN"/>
        </w:rPr>
        <w:lastRenderedPageBreak/>
        <w:t xml:space="preserve">Mongolia is a landlocked country bordering with the Russian Federation in the north and the People’s Republic of China in the south. Its population is 2.7 million where approximately 40% of its population lives in a capital city Ulaanbaatar and 59% of those people live in a ger area. 30% of the total population lives apartment and </w:t>
      </w:r>
      <w:r w:rsidR="00824082" w:rsidRPr="00AC6FB1">
        <w:rPr>
          <w:rFonts w:ascii="Arial Narrow" w:hAnsi="Arial Narrow" w:cs="Arial"/>
          <w:sz w:val="24"/>
          <w:szCs w:val="24"/>
          <w:lang w:bidi="bo-CN"/>
        </w:rPr>
        <w:t>houses with</w:t>
      </w:r>
      <w:r w:rsidR="00824082">
        <w:rPr>
          <w:rFonts w:ascii="Arial Narrow" w:hAnsi="Arial Narrow" w:cs="Arial"/>
          <w:sz w:val="24"/>
          <w:szCs w:val="24"/>
          <w:lang w:bidi="bo-CN"/>
        </w:rPr>
        <w:t xml:space="preserve"> there are no</w:t>
      </w:r>
      <w:r w:rsidRPr="00AC6FB1">
        <w:rPr>
          <w:rFonts w:ascii="Arial Narrow" w:hAnsi="Arial Narrow" w:cs="Arial"/>
          <w:sz w:val="24"/>
          <w:szCs w:val="24"/>
          <w:lang w:bidi="bo-CN"/>
        </w:rPr>
        <w:t xml:space="preserve"> proper infrastructure the rest lives </w:t>
      </w:r>
      <w:r w:rsidR="00824082" w:rsidRPr="00AC6FB1">
        <w:rPr>
          <w:rFonts w:ascii="Arial Narrow" w:hAnsi="Arial Narrow" w:cs="Arial"/>
          <w:sz w:val="24"/>
          <w:szCs w:val="24"/>
          <w:lang w:bidi="bo-CN"/>
        </w:rPr>
        <w:t>in ger areas</w:t>
      </w:r>
      <w:r w:rsidR="00665CEA">
        <w:rPr>
          <w:rFonts w:ascii="Arial Narrow" w:hAnsi="Arial Narrow" w:cs="Arial"/>
          <w:sz w:val="24"/>
          <w:szCs w:val="24"/>
          <w:lang w:bidi="bo-CN"/>
        </w:rPr>
        <w:t xml:space="preserve">. </w:t>
      </w:r>
    </w:p>
    <w:p w:rsidR="005920B0" w:rsidRDefault="005920B0" w:rsidP="000A4601">
      <w:pPr>
        <w:spacing w:line="240" w:lineRule="auto"/>
        <w:jc w:val="both"/>
        <w:rPr>
          <w:rFonts w:ascii="Arial Narrow" w:hAnsi="Arial Narrow" w:cs="Arial"/>
          <w:bCs/>
          <w:color w:val="000000" w:themeColor="text1"/>
          <w:sz w:val="24"/>
          <w:szCs w:val="24"/>
        </w:rPr>
      </w:pPr>
      <w:r w:rsidRPr="00AC6FB1">
        <w:rPr>
          <w:rFonts w:ascii="Arial Narrow" w:hAnsi="Arial Narrow" w:cs="Arial"/>
          <w:color w:val="000000" w:themeColor="text1"/>
          <w:sz w:val="24"/>
          <w:szCs w:val="24"/>
        </w:rPr>
        <w:t xml:space="preserve">According to the latest census in 2010 there are </w:t>
      </w:r>
      <w:r w:rsidR="003F365E" w:rsidRPr="00AC6FB1">
        <w:rPr>
          <w:rFonts w:ascii="Arial Narrow" w:hAnsi="Arial Narrow" w:cs="Arial"/>
          <w:bCs/>
          <w:color w:val="000000" w:themeColor="text1"/>
          <w:sz w:val="24"/>
          <w:szCs w:val="24"/>
        </w:rPr>
        <w:t>713,780</w:t>
      </w:r>
      <w:r w:rsidR="004F2E75" w:rsidRPr="00AC6FB1">
        <w:rPr>
          <w:rFonts w:ascii="Arial Narrow" w:hAnsi="Arial Narrow" w:cs="Arial"/>
          <w:bCs/>
          <w:color w:val="000000" w:themeColor="text1"/>
          <w:sz w:val="24"/>
          <w:szCs w:val="24"/>
        </w:rPr>
        <w:t xml:space="preserve"> hous</w:t>
      </w:r>
      <w:r w:rsidR="00F75531" w:rsidRPr="00AC6FB1">
        <w:rPr>
          <w:rFonts w:ascii="Arial Narrow" w:hAnsi="Arial Narrow" w:cs="Arial"/>
          <w:bCs/>
          <w:color w:val="000000" w:themeColor="text1"/>
          <w:sz w:val="24"/>
          <w:szCs w:val="24"/>
        </w:rPr>
        <w:t>eholds living in Mongolia.</w:t>
      </w:r>
    </w:p>
    <w:p w:rsidR="007C0B6B" w:rsidRPr="00596A3D" w:rsidRDefault="00596A3D" w:rsidP="000A4601">
      <w:pPr>
        <w:spacing w:line="240" w:lineRule="auto"/>
        <w:jc w:val="both"/>
        <w:rPr>
          <w:rFonts w:ascii="Arial Narrow" w:hAnsi="Arial Narrow" w:cs="Arial"/>
          <w:bCs/>
          <w:i/>
          <w:color w:val="000000" w:themeColor="text1"/>
          <w:sz w:val="24"/>
          <w:szCs w:val="24"/>
        </w:rPr>
      </w:pPr>
      <w:r>
        <w:rPr>
          <w:rFonts w:ascii="Arial Narrow" w:hAnsi="Arial Narrow" w:cs="Arial"/>
          <w:bCs/>
          <w:color w:val="000000" w:themeColor="text1"/>
          <w:sz w:val="16"/>
          <w:szCs w:val="16"/>
        </w:rPr>
        <w:t>Table 1.</w:t>
      </w:r>
      <w:r w:rsidR="007C0B6B" w:rsidRPr="00060048">
        <w:rPr>
          <w:rFonts w:ascii="Arial Narrow" w:hAnsi="Arial Narrow" w:cs="Arial"/>
          <w:bCs/>
          <w:color w:val="000000" w:themeColor="text1"/>
          <w:sz w:val="16"/>
          <w:szCs w:val="16"/>
        </w:rPr>
        <w:t>Total households</w:t>
      </w:r>
      <w:r>
        <w:rPr>
          <w:rFonts w:ascii="Arial Narrow" w:hAnsi="Arial Narrow" w:cs="Arial"/>
          <w:bCs/>
          <w:color w:val="000000" w:themeColor="text1"/>
          <w:sz w:val="16"/>
          <w:szCs w:val="16"/>
        </w:rPr>
        <w:t xml:space="preserve"> living</w:t>
      </w:r>
      <w:r w:rsidR="007C0B6B" w:rsidRPr="00060048">
        <w:rPr>
          <w:rFonts w:ascii="Arial Narrow" w:hAnsi="Arial Narrow" w:cs="Arial"/>
          <w:bCs/>
          <w:color w:val="000000" w:themeColor="text1"/>
          <w:sz w:val="16"/>
          <w:szCs w:val="16"/>
        </w:rPr>
        <w:t xml:space="preserve"> in Urban and Rural area</w:t>
      </w:r>
      <w:r w:rsidR="007C0B6B">
        <w:rPr>
          <w:rFonts w:ascii="Arial Narrow" w:hAnsi="Arial Narrow" w:cs="Arial"/>
          <w:bCs/>
          <w:color w:val="000000" w:themeColor="text1"/>
          <w:sz w:val="16"/>
          <w:szCs w:val="16"/>
        </w:rPr>
        <w:t xml:space="preserve">. </w:t>
      </w:r>
      <w:r w:rsidR="006C6BF6">
        <w:rPr>
          <w:rFonts w:ascii="Arial Narrow" w:hAnsi="Arial Narrow" w:cs="Arial"/>
          <w:bCs/>
          <w:color w:val="000000" w:themeColor="text1"/>
          <w:sz w:val="16"/>
          <w:szCs w:val="16"/>
        </w:rPr>
        <w:t xml:space="preserve">Source: </w:t>
      </w:r>
      <w:r w:rsidR="006C6BF6" w:rsidRPr="00596A3D">
        <w:rPr>
          <w:rFonts w:ascii="Arial Narrow" w:hAnsi="Arial Narrow" w:cs="Arial"/>
          <w:bCs/>
          <w:i/>
          <w:color w:val="000000" w:themeColor="text1"/>
          <w:sz w:val="16"/>
          <w:szCs w:val="16"/>
        </w:rPr>
        <w:t>National Statistic office of Mongolia</w:t>
      </w:r>
    </w:p>
    <w:tbl>
      <w:tblPr>
        <w:tblStyle w:val="MediumShading1-Accent2"/>
        <w:tblW w:w="9673" w:type="dxa"/>
        <w:tblLook w:val="04A0" w:firstRow="1" w:lastRow="0" w:firstColumn="1" w:lastColumn="0" w:noHBand="0" w:noVBand="1"/>
      </w:tblPr>
      <w:tblGrid>
        <w:gridCol w:w="610"/>
        <w:gridCol w:w="3437"/>
        <w:gridCol w:w="2744"/>
        <w:gridCol w:w="2882"/>
      </w:tblGrid>
      <w:tr w:rsidR="00497FC2" w:rsidRPr="00AC6FB1" w:rsidTr="00DF55F8">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610" w:type="dxa"/>
            <w:hideMark/>
          </w:tcPr>
          <w:p w:rsidR="00497FC2" w:rsidRPr="00AC6FB1" w:rsidRDefault="00497FC2" w:rsidP="005D11EF">
            <w:pPr>
              <w:ind w:firstLineChars="100" w:firstLine="181"/>
              <w:rPr>
                <w:rFonts w:ascii="Arial Narrow" w:eastAsia="Times New Roman" w:hAnsi="Arial Narrow" w:cs="Arial"/>
                <w:color w:val="000000"/>
                <w:sz w:val="18"/>
                <w:szCs w:val="18"/>
              </w:rPr>
            </w:pPr>
            <w:r w:rsidRPr="00AC6FB1">
              <w:rPr>
                <w:rFonts w:ascii="Arial Narrow" w:eastAsia="Times New Roman" w:hAnsi="Arial Narrow" w:cs="Arial"/>
                <w:color w:val="000000"/>
                <w:sz w:val="18"/>
                <w:szCs w:val="18"/>
              </w:rPr>
              <w:t> </w:t>
            </w:r>
          </w:p>
        </w:tc>
        <w:tc>
          <w:tcPr>
            <w:tcW w:w="9063" w:type="dxa"/>
            <w:gridSpan w:val="3"/>
            <w:hideMark/>
          </w:tcPr>
          <w:p w:rsidR="00497FC2" w:rsidRPr="00DF55F8" w:rsidRDefault="00497FC2" w:rsidP="00A80014">
            <w:pPr>
              <w:jc w:val="both"/>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000000"/>
              </w:rPr>
            </w:pPr>
            <w:r w:rsidRPr="00DF55F8">
              <w:rPr>
                <w:rFonts w:ascii="Arial Narrow" w:eastAsia="Times New Roman" w:hAnsi="Arial Narrow" w:cs="Arial"/>
                <w:color w:val="000000" w:themeColor="text1"/>
              </w:rPr>
              <w:t xml:space="preserve">Total household number 713,780 </w:t>
            </w:r>
          </w:p>
        </w:tc>
      </w:tr>
      <w:tr w:rsidR="00497FC2" w:rsidRPr="00AC6FB1" w:rsidTr="00DF55F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10" w:type="dxa"/>
            <w:vMerge w:val="restart"/>
            <w:textDirection w:val="btLr"/>
            <w:hideMark/>
          </w:tcPr>
          <w:p w:rsidR="00497FC2" w:rsidRPr="00DF55F8" w:rsidRDefault="00497FC2" w:rsidP="00A80014">
            <w:pPr>
              <w:jc w:val="center"/>
              <w:rPr>
                <w:rFonts w:ascii="Arial Narrow" w:eastAsia="Times New Roman" w:hAnsi="Arial Narrow" w:cs="Arial"/>
                <w:color w:val="000000"/>
              </w:rPr>
            </w:pPr>
            <w:r w:rsidRPr="00DF55F8">
              <w:rPr>
                <w:rFonts w:ascii="Arial Narrow" w:eastAsia="Times New Roman" w:hAnsi="Arial Narrow" w:cs="Arial"/>
                <w:color w:val="000000"/>
              </w:rPr>
              <w:t>Total</w:t>
            </w:r>
          </w:p>
        </w:tc>
        <w:tc>
          <w:tcPr>
            <w:tcW w:w="3437" w:type="dxa"/>
            <w:noWrap/>
            <w:hideMark/>
          </w:tcPr>
          <w:p w:rsidR="00497FC2" w:rsidRPr="00DF55F8" w:rsidRDefault="00497FC2" w:rsidP="00A80014">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DF55F8">
              <w:rPr>
                <w:rFonts w:ascii="Arial Narrow" w:eastAsia="Times New Roman" w:hAnsi="Arial Narrow" w:cs="Arial"/>
                <w:color w:val="000000"/>
              </w:rPr>
              <w:t xml:space="preserve">Ger </w:t>
            </w:r>
          </w:p>
        </w:tc>
        <w:tc>
          <w:tcPr>
            <w:tcW w:w="2744" w:type="dxa"/>
            <w:noWrap/>
            <w:hideMark/>
          </w:tcPr>
          <w:p w:rsidR="00497FC2" w:rsidRPr="00DF55F8" w:rsidRDefault="00497FC2" w:rsidP="00A80014">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DF55F8">
              <w:rPr>
                <w:rFonts w:ascii="Arial Narrow" w:eastAsia="Times New Roman" w:hAnsi="Arial Narrow" w:cs="Arial"/>
                <w:color w:val="000000"/>
              </w:rPr>
              <w:t>House, apartment</w:t>
            </w:r>
          </w:p>
        </w:tc>
        <w:tc>
          <w:tcPr>
            <w:tcW w:w="2882" w:type="dxa"/>
            <w:noWrap/>
            <w:hideMark/>
          </w:tcPr>
          <w:p w:rsidR="00497FC2" w:rsidRPr="00DF55F8" w:rsidRDefault="00497FC2" w:rsidP="00A80014">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DF55F8">
              <w:rPr>
                <w:rFonts w:ascii="Arial Narrow" w:eastAsia="Times New Roman" w:hAnsi="Arial Narrow" w:cs="Arial"/>
                <w:color w:val="000000"/>
              </w:rPr>
              <w:t xml:space="preserve">other </w:t>
            </w:r>
          </w:p>
        </w:tc>
      </w:tr>
      <w:tr w:rsidR="00497FC2" w:rsidRPr="00AC6FB1" w:rsidTr="00DF55F8">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10" w:type="dxa"/>
            <w:vMerge/>
            <w:hideMark/>
          </w:tcPr>
          <w:p w:rsidR="00497FC2" w:rsidRPr="00DF55F8" w:rsidRDefault="00497FC2" w:rsidP="00A80014">
            <w:pPr>
              <w:rPr>
                <w:rFonts w:ascii="Arial Narrow" w:eastAsia="Times New Roman" w:hAnsi="Arial Narrow" w:cs="Arial"/>
                <w:color w:val="000000"/>
              </w:rPr>
            </w:pPr>
          </w:p>
        </w:tc>
        <w:tc>
          <w:tcPr>
            <w:tcW w:w="3437" w:type="dxa"/>
            <w:hideMark/>
          </w:tcPr>
          <w:p w:rsidR="00497FC2" w:rsidRPr="00DF55F8" w:rsidRDefault="00497FC2" w:rsidP="00A80014">
            <w:pPr>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rPr>
            </w:pPr>
            <w:r w:rsidRPr="00DF55F8">
              <w:rPr>
                <w:rFonts w:ascii="Arial Narrow" w:eastAsia="Times New Roman" w:hAnsi="Arial Narrow" w:cs="Arial"/>
                <w:color w:val="000000"/>
              </w:rPr>
              <w:t xml:space="preserve">322,836 (45.2%) </w:t>
            </w:r>
          </w:p>
        </w:tc>
        <w:tc>
          <w:tcPr>
            <w:tcW w:w="2744" w:type="dxa"/>
            <w:hideMark/>
          </w:tcPr>
          <w:p w:rsidR="00497FC2" w:rsidRPr="00DF55F8" w:rsidRDefault="00497FC2" w:rsidP="00A80014">
            <w:pPr>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rPr>
            </w:pPr>
            <w:r w:rsidRPr="00DF55F8">
              <w:rPr>
                <w:rFonts w:ascii="Arial Narrow" w:eastAsia="Times New Roman" w:hAnsi="Arial Narrow" w:cs="Arial"/>
                <w:color w:val="000000"/>
              </w:rPr>
              <w:t xml:space="preserve">382,808(53.6%) </w:t>
            </w:r>
          </w:p>
        </w:tc>
        <w:tc>
          <w:tcPr>
            <w:tcW w:w="2882" w:type="dxa"/>
            <w:hideMark/>
          </w:tcPr>
          <w:p w:rsidR="00497FC2" w:rsidRPr="00DF55F8" w:rsidRDefault="00497FC2" w:rsidP="00A80014">
            <w:pPr>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rPr>
            </w:pPr>
            <w:r w:rsidRPr="00DF55F8">
              <w:rPr>
                <w:rFonts w:ascii="Arial Narrow" w:eastAsia="Times New Roman" w:hAnsi="Arial Narrow" w:cs="Arial"/>
                <w:color w:val="000000"/>
              </w:rPr>
              <w:t xml:space="preserve">8132 (1.1%) </w:t>
            </w:r>
          </w:p>
        </w:tc>
      </w:tr>
      <w:tr w:rsidR="00497FC2" w:rsidRPr="00AC6FB1" w:rsidTr="00DF55F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10" w:type="dxa"/>
            <w:vMerge w:val="restart"/>
            <w:textDirection w:val="btLr"/>
            <w:hideMark/>
          </w:tcPr>
          <w:p w:rsidR="00497FC2" w:rsidRPr="00DF55F8" w:rsidRDefault="00497FC2" w:rsidP="00A80014">
            <w:pPr>
              <w:jc w:val="center"/>
              <w:rPr>
                <w:rFonts w:ascii="Arial Narrow" w:eastAsia="Times New Roman" w:hAnsi="Arial Narrow" w:cs="Arial"/>
                <w:color w:val="000000"/>
              </w:rPr>
            </w:pPr>
            <w:r w:rsidRPr="00DF55F8">
              <w:rPr>
                <w:rFonts w:ascii="Arial Narrow" w:eastAsia="Times New Roman" w:hAnsi="Arial Narrow" w:cs="Arial"/>
                <w:color w:val="000000"/>
              </w:rPr>
              <w:t>Urban</w:t>
            </w:r>
          </w:p>
        </w:tc>
        <w:tc>
          <w:tcPr>
            <w:tcW w:w="9063" w:type="dxa"/>
            <w:gridSpan w:val="3"/>
            <w:hideMark/>
          </w:tcPr>
          <w:p w:rsidR="00497FC2" w:rsidRPr="00DF55F8" w:rsidRDefault="00497FC2" w:rsidP="00A80014">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iCs/>
                <w:color w:val="000000"/>
                <w:u w:val="single"/>
              </w:rPr>
            </w:pPr>
            <w:r w:rsidRPr="00DF55F8">
              <w:rPr>
                <w:rFonts w:ascii="Arial Narrow" w:eastAsia="Times New Roman" w:hAnsi="Arial Narrow" w:cs="Arial"/>
                <w:i/>
                <w:iCs/>
                <w:color w:val="000000"/>
                <w:u w:val="single"/>
              </w:rPr>
              <w:t xml:space="preserve">Total Urban household 479,503 (67%) </w:t>
            </w:r>
          </w:p>
        </w:tc>
      </w:tr>
      <w:tr w:rsidR="00497FC2" w:rsidRPr="00AC6FB1" w:rsidTr="00DF55F8">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610" w:type="dxa"/>
            <w:vMerge/>
            <w:hideMark/>
          </w:tcPr>
          <w:p w:rsidR="00497FC2" w:rsidRPr="00DF55F8" w:rsidRDefault="00497FC2" w:rsidP="00A80014">
            <w:pPr>
              <w:rPr>
                <w:rFonts w:ascii="Arial Narrow" w:eastAsia="Times New Roman" w:hAnsi="Arial Narrow" w:cs="Arial"/>
                <w:color w:val="000000"/>
              </w:rPr>
            </w:pPr>
          </w:p>
        </w:tc>
        <w:tc>
          <w:tcPr>
            <w:tcW w:w="3437" w:type="dxa"/>
            <w:hideMark/>
          </w:tcPr>
          <w:p w:rsidR="00497FC2" w:rsidRPr="00DF55F8" w:rsidRDefault="00497FC2" w:rsidP="00A80014">
            <w:pPr>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rPr>
            </w:pPr>
            <w:r w:rsidRPr="00DF55F8">
              <w:rPr>
                <w:rFonts w:ascii="Arial Narrow" w:eastAsia="Times New Roman" w:hAnsi="Arial Narrow" w:cs="Arial"/>
                <w:color w:val="000000"/>
              </w:rPr>
              <w:t xml:space="preserve">156,744 (32,7% ) </w:t>
            </w:r>
          </w:p>
        </w:tc>
        <w:tc>
          <w:tcPr>
            <w:tcW w:w="2744" w:type="dxa"/>
            <w:hideMark/>
          </w:tcPr>
          <w:p w:rsidR="00497FC2" w:rsidRPr="00DF55F8" w:rsidRDefault="00497FC2" w:rsidP="00A80014">
            <w:pPr>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rPr>
            </w:pPr>
            <w:r w:rsidRPr="00DF55F8">
              <w:rPr>
                <w:rFonts w:ascii="Arial Narrow" w:eastAsia="Times New Roman" w:hAnsi="Arial Narrow" w:cs="Arial"/>
                <w:color w:val="000000"/>
              </w:rPr>
              <w:t xml:space="preserve">316116 (65,9%) </w:t>
            </w:r>
          </w:p>
        </w:tc>
        <w:tc>
          <w:tcPr>
            <w:tcW w:w="2882" w:type="dxa"/>
            <w:hideMark/>
          </w:tcPr>
          <w:p w:rsidR="00497FC2" w:rsidRPr="00DF55F8" w:rsidRDefault="00497FC2" w:rsidP="00A80014">
            <w:pPr>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rPr>
            </w:pPr>
            <w:r w:rsidRPr="00DF55F8">
              <w:rPr>
                <w:rFonts w:ascii="Arial Narrow" w:eastAsia="Times New Roman" w:hAnsi="Arial Narrow" w:cs="Arial"/>
                <w:color w:val="000000"/>
              </w:rPr>
              <w:t xml:space="preserve">6643 (1,4%) </w:t>
            </w:r>
          </w:p>
        </w:tc>
      </w:tr>
      <w:tr w:rsidR="00497FC2" w:rsidRPr="00AC6FB1" w:rsidTr="00DF55F8">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10" w:type="dxa"/>
            <w:vMerge w:val="restart"/>
            <w:textDirection w:val="btLr"/>
            <w:hideMark/>
          </w:tcPr>
          <w:p w:rsidR="00497FC2" w:rsidRPr="00DF55F8" w:rsidRDefault="00497FC2" w:rsidP="00A80014">
            <w:pPr>
              <w:jc w:val="center"/>
              <w:rPr>
                <w:rFonts w:ascii="Arial Narrow" w:eastAsia="Times New Roman" w:hAnsi="Arial Narrow" w:cs="Arial"/>
                <w:color w:val="000000"/>
              </w:rPr>
            </w:pPr>
            <w:r w:rsidRPr="00DF55F8">
              <w:rPr>
                <w:rFonts w:ascii="Arial Narrow" w:eastAsia="Times New Roman" w:hAnsi="Arial Narrow" w:cs="Arial"/>
                <w:color w:val="000000"/>
              </w:rPr>
              <w:t>Rural</w:t>
            </w:r>
          </w:p>
        </w:tc>
        <w:tc>
          <w:tcPr>
            <w:tcW w:w="9063" w:type="dxa"/>
            <w:gridSpan w:val="3"/>
            <w:hideMark/>
          </w:tcPr>
          <w:p w:rsidR="00497FC2" w:rsidRPr="00DF55F8" w:rsidRDefault="00497FC2" w:rsidP="00A80014">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iCs/>
                <w:color w:val="000000"/>
                <w:u w:val="single"/>
              </w:rPr>
            </w:pPr>
            <w:r w:rsidRPr="00DF55F8">
              <w:rPr>
                <w:rFonts w:ascii="Arial Narrow" w:eastAsia="Times New Roman" w:hAnsi="Arial Narrow" w:cs="Arial"/>
                <w:i/>
                <w:iCs/>
                <w:color w:val="000000"/>
                <w:u w:val="single"/>
              </w:rPr>
              <w:t xml:space="preserve">Total rural household: 234,277 (33%) </w:t>
            </w:r>
          </w:p>
        </w:tc>
      </w:tr>
      <w:tr w:rsidR="00497FC2" w:rsidRPr="00AC6FB1" w:rsidTr="00DF55F8">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610" w:type="dxa"/>
            <w:vMerge/>
            <w:hideMark/>
          </w:tcPr>
          <w:p w:rsidR="00497FC2" w:rsidRPr="00AC6FB1" w:rsidRDefault="00497FC2" w:rsidP="00A80014">
            <w:pPr>
              <w:rPr>
                <w:rFonts w:ascii="Arial Narrow" w:eastAsia="Times New Roman" w:hAnsi="Arial Narrow" w:cs="Arial"/>
                <w:color w:val="000000"/>
                <w:sz w:val="18"/>
                <w:szCs w:val="18"/>
              </w:rPr>
            </w:pPr>
          </w:p>
        </w:tc>
        <w:tc>
          <w:tcPr>
            <w:tcW w:w="3437" w:type="dxa"/>
            <w:hideMark/>
          </w:tcPr>
          <w:p w:rsidR="00497FC2" w:rsidRPr="00DF55F8" w:rsidRDefault="00497FC2" w:rsidP="00A80014">
            <w:pPr>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rPr>
            </w:pPr>
            <w:r w:rsidRPr="00DF55F8">
              <w:rPr>
                <w:rFonts w:ascii="Arial Narrow" w:eastAsia="Times New Roman" w:hAnsi="Arial Narrow" w:cs="Arial"/>
                <w:color w:val="000000"/>
              </w:rPr>
              <w:t xml:space="preserve">234,277 (70, 9%) </w:t>
            </w:r>
          </w:p>
        </w:tc>
        <w:tc>
          <w:tcPr>
            <w:tcW w:w="2744" w:type="dxa"/>
            <w:hideMark/>
          </w:tcPr>
          <w:p w:rsidR="00497FC2" w:rsidRPr="00DF55F8" w:rsidRDefault="00497FC2" w:rsidP="00A80014">
            <w:pPr>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rPr>
            </w:pPr>
            <w:r w:rsidRPr="00DF55F8">
              <w:rPr>
                <w:rFonts w:ascii="Arial Narrow" w:eastAsia="Times New Roman" w:hAnsi="Arial Narrow" w:cs="Arial"/>
                <w:color w:val="000000"/>
              </w:rPr>
              <w:t xml:space="preserve">66,692 (28, 5%) </w:t>
            </w:r>
          </w:p>
        </w:tc>
        <w:tc>
          <w:tcPr>
            <w:tcW w:w="2882" w:type="dxa"/>
            <w:hideMark/>
          </w:tcPr>
          <w:p w:rsidR="00497FC2" w:rsidRPr="00DF55F8" w:rsidRDefault="00497FC2" w:rsidP="00A80014">
            <w:pPr>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rPr>
            </w:pPr>
            <w:r w:rsidRPr="00DF55F8">
              <w:rPr>
                <w:rFonts w:ascii="Arial Narrow" w:eastAsia="Times New Roman" w:hAnsi="Arial Narrow" w:cs="Arial"/>
                <w:color w:val="000000"/>
              </w:rPr>
              <w:t xml:space="preserve">1493 (0, 6%) </w:t>
            </w:r>
          </w:p>
        </w:tc>
      </w:tr>
    </w:tbl>
    <w:p w:rsidR="003F365E" w:rsidRPr="00060048" w:rsidRDefault="00060048" w:rsidP="00A80014">
      <w:pPr>
        <w:spacing w:line="240" w:lineRule="auto"/>
        <w:jc w:val="both"/>
        <w:rPr>
          <w:rFonts w:ascii="Arial Narrow" w:hAnsi="Arial Narrow" w:cs="Arial"/>
          <w:bCs/>
          <w:color w:val="000000" w:themeColor="text1"/>
          <w:sz w:val="16"/>
          <w:szCs w:val="16"/>
        </w:rPr>
      </w:pPr>
      <w:r w:rsidRPr="00060048">
        <w:rPr>
          <w:rFonts w:ascii="Arial Narrow" w:hAnsi="Arial Narrow" w:cs="Arial"/>
          <w:bCs/>
          <w:color w:val="000000" w:themeColor="text1"/>
          <w:sz w:val="16"/>
          <w:szCs w:val="16"/>
        </w:rPr>
        <w:t xml:space="preserve">                 </w:t>
      </w:r>
      <w:r>
        <w:rPr>
          <w:rFonts w:ascii="Arial Narrow" w:hAnsi="Arial Narrow" w:cs="Arial"/>
          <w:bCs/>
          <w:color w:val="000000" w:themeColor="text1"/>
          <w:sz w:val="16"/>
          <w:szCs w:val="16"/>
        </w:rPr>
        <w:t xml:space="preserve">                           </w:t>
      </w:r>
      <w:r w:rsidR="007C0B6B">
        <w:rPr>
          <w:rFonts w:ascii="Arial Narrow" w:hAnsi="Arial Narrow" w:cs="Arial"/>
          <w:bCs/>
          <w:color w:val="000000" w:themeColor="text1"/>
          <w:sz w:val="16"/>
          <w:szCs w:val="16"/>
        </w:rPr>
        <w:t xml:space="preserve"> </w:t>
      </w:r>
    </w:p>
    <w:p w:rsidR="009B20BB" w:rsidRPr="008B530A" w:rsidRDefault="000A35F0" w:rsidP="008B530A">
      <w:pPr>
        <w:spacing w:line="240" w:lineRule="auto"/>
        <w:jc w:val="both"/>
        <w:rPr>
          <w:rFonts w:ascii="Arial Narrow" w:hAnsi="Arial Narrow" w:cs="Arial"/>
          <w:bCs/>
          <w:color w:val="000000" w:themeColor="text1"/>
          <w:sz w:val="24"/>
          <w:szCs w:val="24"/>
        </w:rPr>
      </w:pPr>
      <w:r w:rsidRPr="00AC6FB1">
        <w:rPr>
          <w:rFonts w:ascii="Arial Narrow" w:hAnsi="Arial Narrow" w:cs="Arial"/>
          <w:bCs/>
          <w:color w:val="000000" w:themeColor="text1"/>
          <w:sz w:val="24"/>
          <w:szCs w:val="24"/>
        </w:rPr>
        <w:t>The urban areas in Mongolia present two very different and distinct patterns of residential development which are highly correlated with poverty. The first involves planned areas based on Soviet-style planning practices and featuring multi-family housing surrounded by vaguely defined open spaces. The second involves ger areas character</w:t>
      </w:r>
      <w:r w:rsidR="00596A3D">
        <w:rPr>
          <w:rFonts w:ascii="Arial Narrow" w:hAnsi="Arial Narrow" w:cs="Arial"/>
          <w:bCs/>
          <w:color w:val="000000" w:themeColor="text1"/>
          <w:sz w:val="24"/>
          <w:szCs w:val="24"/>
        </w:rPr>
        <w:t>ized by long strips of large, not</w:t>
      </w:r>
      <w:r w:rsidR="00596A3D" w:rsidRPr="00AC6FB1">
        <w:rPr>
          <w:rFonts w:ascii="Arial Narrow" w:hAnsi="Arial Narrow" w:cs="Arial"/>
          <w:bCs/>
          <w:color w:val="000000" w:themeColor="text1"/>
          <w:sz w:val="24"/>
          <w:szCs w:val="24"/>
        </w:rPr>
        <w:t xml:space="preserve"> serviced</w:t>
      </w:r>
      <w:r w:rsidRPr="00AC6FB1">
        <w:rPr>
          <w:rFonts w:ascii="Arial Narrow" w:hAnsi="Arial Narrow" w:cs="Arial"/>
          <w:bCs/>
          <w:color w:val="000000" w:themeColor="text1"/>
          <w:sz w:val="24"/>
          <w:szCs w:val="24"/>
        </w:rPr>
        <w:t xml:space="preserve"> </w:t>
      </w:r>
      <w:r w:rsidR="001349D3" w:rsidRPr="00AC6FB1">
        <w:rPr>
          <w:rFonts w:ascii="Arial Narrow" w:hAnsi="Arial Narrow" w:cs="Arial"/>
          <w:bCs/>
          <w:color w:val="000000" w:themeColor="text1"/>
          <w:sz w:val="24"/>
          <w:szCs w:val="24"/>
        </w:rPr>
        <w:t xml:space="preserve">plots with wide dirty roads on at least two sides. Mongolia’s poor population is concentrated in these ger areas. More than 36% of the total population of Mongolia lives below the poverty line, and almost 80% of the poor lives in ger areas in Ulaanbaatar in aimag (province) centers. </w:t>
      </w:r>
    </w:p>
    <w:p w:rsidR="002C767F" w:rsidRDefault="00D51F83" w:rsidP="00A80014">
      <w:pPr>
        <w:autoSpaceDE w:val="0"/>
        <w:autoSpaceDN w:val="0"/>
        <w:adjustRightInd w:val="0"/>
        <w:spacing w:line="240" w:lineRule="auto"/>
        <w:rPr>
          <w:rFonts w:ascii="Arial Narrow" w:hAnsi="Arial Narrow" w:cs="Arial"/>
          <w:i/>
          <w:sz w:val="20"/>
          <w:szCs w:val="20"/>
        </w:rPr>
      </w:pPr>
      <w:hyperlink r:id="rId11" w:history="1"/>
      <w:r w:rsidR="009B20BB" w:rsidRPr="00AC6FB1">
        <w:rPr>
          <w:rFonts w:ascii="Arial Narrow" w:hAnsi="Arial Narrow" w:cs="Arial"/>
          <w:i/>
          <w:sz w:val="20"/>
          <w:szCs w:val="20"/>
        </w:rPr>
        <w:t>A ger is the traditional circular felt tent of Mongolian nomads. Informal urban settlements, characterized by a variety of shelter types, predominantly ger tents, are referred to as ger housing areas.</w:t>
      </w:r>
    </w:p>
    <w:p w:rsidR="00060048" w:rsidRPr="00060048" w:rsidRDefault="00060048" w:rsidP="00060048">
      <w:pPr>
        <w:spacing w:line="240" w:lineRule="auto"/>
        <w:jc w:val="both"/>
        <w:rPr>
          <w:rFonts w:ascii="Arial Narrow" w:hAnsi="Arial Narrow" w:cs="Arial"/>
          <w:bCs/>
          <w:color w:val="000000" w:themeColor="text1"/>
          <w:sz w:val="20"/>
          <w:szCs w:val="20"/>
        </w:rPr>
      </w:pPr>
      <w:r w:rsidRPr="00AC6FB1">
        <w:rPr>
          <w:rFonts w:ascii="Arial Narrow" w:hAnsi="Arial Narrow" w:cs="Arial"/>
          <w:bCs/>
          <w:color w:val="000000" w:themeColor="text1"/>
          <w:sz w:val="20"/>
          <w:szCs w:val="20"/>
        </w:rPr>
        <w:t xml:space="preserve">Picture 1. Ger area in Ulaanbaatar City.              </w:t>
      </w:r>
      <w:r>
        <w:rPr>
          <w:rFonts w:ascii="Arial Narrow" w:hAnsi="Arial Narrow" w:cs="Arial"/>
          <w:bCs/>
          <w:color w:val="000000" w:themeColor="text1"/>
          <w:sz w:val="20"/>
          <w:szCs w:val="20"/>
        </w:rPr>
        <w:t xml:space="preserve">                   </w:t>
      </w:r>
      <w:r w:rsidRPr="00AC6FB1">
        <w:rPr>
          <w:rFonts w:ascii="Arial Narrow" w:hAnsi="Arial Narrow" w:cs="Arial"/>
          <w:bCs/>
          <w:color w:val="000000" w:themeColor="text1"/>
          <w:sz w:val="20"/>
          <w:szCs w:val="20"/>
        </w:rPr>
        <w:t xml:space="preserve">       </w:t>
      </w:r>
      <w:r>
        <w:rPr>
          <w:rFonts w:ascii="Arial Narrow" w:hAnsi="Arial Narrow" w:cs="Arial"/>
          <w:bCs/>
          <w:color w:val="000000" w:themeColor="text1"/>
          <w:sz w:val="20"/>
          <w:szCs w:val="20"/>
        </w:rPr>
        <w:t xml:space="preserve">Picture 2. Mongolian Ger </w:t>
      </w:r>
    </w:p>
    <w:p w:rsidR="009B20BB" w:rsidRPr="00AC6FB1" w:rsidRDefault="009B20BB" w:rsidP="00A80014">
      <w:pPr>
        <w:spacing w:line="240" w:lineRule="auto"/>
        <w:jc w:val="both"/>
        <w:rPr>
          <w:rFonts w:ascii="Arial Narrow" w:hAnsi="Arial Narrow" w:cs="Arial"/>
          <w:bCs/>
          <w:color w:val="000000" w:themeColor="text1"/>
          <w:sz w:val="24"/>
          <w:szCs w:val="24"/>
        </w:rPr>
      </w:pPr>
      <w:r w:rsidRPr="00AC6FB1">
        <w:rPr>
          <w:rFonts w:ascii="Arial Narrow" w:hAnsi="Arial Narrow" w:cs="Arial"/>
          <w:i/>
        </w:rPr>
        <w:br/>
      </w:r>
      <w:r w:rsidR="002C767F" w:rsidRPr="00AC6FB1">
        <w:rPr>
          <w:rFonts w:ascii="Arial Narrow" w:hAnsi="Arial Narrow" w:cs="Arial"/>
          <w:bCs/>
          <w:noProof/>
          <w:color w:val="000000" w:themeColor="text1"/>
          <w:sz w:val="24"/>
          <w:szCs w:val="24"/>
        </w:rPr>
        <w:drawing>
          <wp:inline distT="0" distB="0" distL="0" distR="0">
            <wp:extent cx="2628900" cy="1504950"/>
            <wp:effectExtent l="19050" t="0" r="0" b="0"/>
            <wp:docPr id="2" name="Picture 2" descr="DSCF0030"/>
            <wp:cNvGraphicFramePr/>
            <a:graphic xmlns:a="http://schemas.openxmlformats.org/drawingml/2006/main">
              <a:graphicData uri="http://schemas.openxmlformats.org/drawingml/2006/picture">
                <pic:pic xmlns:pic="http://schemas.openxmlformats.org/drawingml/2006/picture">
                  <pic:nvPicPr>
                    <pic:cNvPr id="20" name="Picture 3" descr="DSCF0030"/>
                    <pic:cNvPicPr>
                      <a:picLocks noChangeAspect="1" noChangeArrowheads="1"/>
                    </pic:cNvPicPr>
                  </pic:nvPicPr>
                  <pic:blipFill>
                    <a:blip r:embed="rId12" cstate="print"/>
                    <a:srcRect l="3127" r="6201" b="3479"/>
                    <a:stretch>
                      <a:fillRect/>
                    </a:stretch>
                  </pic:blipFill>
                  <pic:spPr>
                    <a:xfrm>
                      <a:off x="0" y="0"/>
                      <a:ext cx="2632160" cy="1506816"/>
                    </a:xfrm>
                    <a:prstGeom prst="rect">
                      <a:avLst/>
                    </a:prstGeom>
                    <a:noFill/>
                    <a:ln/>
                  </pic:spPr>
                </pic:pic>
              </a:graphicData>
            </a:graphic>
          </wp:inline>
        </w:drawing>
      </w:r>
      <w:r w:rsidR="00B648E3" w:rsidRPr="00AC6FB1">
        <w:rPr>
          <w:rFonts w:ascii="Arial Narrow" w:hAnsi="Arial Narrow" w:cs="Arial"/>
          <w:i/>
        </w:rPr>
        <w:t xml:space="preserve">         </w:t>
      </w:r>
      <w:r w:rsidR="002C767F" w:rsidRPr="00AC6FB1">
        <w:rPr>
          <w:rFonts w:ascii="Arial Narrow" w:hAnsi="Arial Narrow" w:cs="Arial"/>
          <w:i/>
        </w:rPr>
        <w:t xml:space="preserve"> </w:t>
      </w:r>
      <w:r w:rsidR="00B648E3" w:rsidRPr="00AC6FB1">
        <w:rPr>
          <w:rFonts w:ascii="Arial Narrow" w:hAnsi="Arial Narrow" w:cs="Arial"/>
          <w:iCs/>
          <w:noProof/>
        </w:rPr>
        <w:drawing>
          <wp:inline distT="0" distB="0" distL="0" distR="0">
            <wp:extent cx="2838450" cy="1504950"/>
            <wp:effectExtent l="19050" t="0" r="0" b="0"/>
            <wp:docPr id="4" name="Picture 1" descr="DSC_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037"/>
                    <pic:cNvPicPr>
                      <a:picLocks noChangeAspect="1" noChangeArrowheads="1"/>
                    </pic:cNvPicPr>
                  </pic:nvPicPr>
                  <pic:blipFill>
                    <a:blip r:embed="rId13" cstate="print"/>
                    <a:srcRect/>
                    <a:stretch>
                      <a:fillRect/>
                    </a:stretch>
                  </pic:blipFill>
                  <pic:spPr bwMode="auto">
                    <a:xfrm>
                      <a:off x="0" y="0"/>
                      <a:ext cx="2838450" cy="1504950"/>
                    </a:xfrm>
                    <a:prstGeom prst="rect">
                      <a:avLst/>
                    </a:prstGeom>
                    <a:noFill/>
                    <a:ln w="9525">
                      <a:noFill/>
                      <a:miter lim="800000"/>
                      <a:headEnd/>
                      <a:tailEnd/>
                    </a:ln>
                  </pic:spPr>
                </pic:pic>
              </a:graphicData>
            </a:graphic>
          </wp:inline>
        </w:drawing>
      </w:r>
    </w:p>
    <w:p w:rsidR="00060048" w:rsidRDefault="00060048" w:rsidP="00A80014">
      <w:pPr>
        <w:spacing w:line="240" w:lineRule="auto"/>
        <w:jc w:val="both"/>
        <w:rPr>
          <w:rFonts w:ascii="Arial Narrow" w:hAnsi="Arial Narrow" w:cs="Arial"/>
          <w:bCs/>
          <w:color w:val="000000" w:themeColor="text1"/>
          <w:sz w:val="24"/>
          <w:szCs w:val="24"/>
        </w:rPr>
      </w:pPr>
    </w:p>
    <w:p w:rsidR="008B530A" w:rsidRPr="00665CEA" w:rsidRDefault="00665CEA" w:rsidP="00A80014">
      <w:pPr>
        <w:spacing w:line="240" w:lineRule="auto"/>
        <w:jc w:val="both"/>
        <w:rPr>
          <w:rFonts w:ascii="Arial Narrow" w:hAnsi="Arial Narrow" w:cs="Arial"/>
          <w:bCs/>
          <w:color w:val="000000" w:themeColor="text1"/>
          <w:sz w:val="24"/>
          <w:szCs w:val="24"/>
        </w:rPr>
      </w:pPr>
      <w:r>
        <w:rPr>
          <w:rFonts w:ascii="Arial Narrow" w:hAnsi="Arial Narrow" w:cs="Arial"/>
          <w:bCs/>
          <w:color w:val="000000" w:themeColor="text1"/>
          <w:sz w:val="24"/>
          <w:szCs w:val="24"/>
        </w:rPr>
        <w:t>Till e</w:t>
      </w:r>
      <w:r w:rsidR="004F2E75" w:rsidRPr="00AC6FB1">
        <w:rPr>
          <w:rFonts w:ascii="Arial Narrow" w:hAnsi="Arial Narrow" w:cs="Arial"/>
          <w:bCs/>
          <w:color w:val="000000" w:themeColor="text1"/>
          <w:sz w:val="24"/>
          <w:szCs w:val="24"/>
        </w:rPr>
        <w:t xml:space="preserve">arly 1990 </w:t>
      </w:r>
      <w:r w:rsidR="00E72E0D" w:rsidRPr="00AC6FB1">
        <w:rPr>
          <w:rFonts w:ascii="Arial Narrow" w:hAnsi="Arial Narrow" w:cs="Arial"/>
          <w:bCs/>
          <w:color w:val="000000" w:themeColor="text1"/>
          <w:sz w:val="24"/>
          <w:szCs w:val="24"/>
        </w:rPr>
        <w:t xml:space="preserve">Government used to provide </w:t>
      </w:r>
      <w:r>
        <w:rPr>
          <w:rFonts w:ascii="Arial Narrow" w:hAnsi="Arial Narrow" w:cs="Arial"/>
          <w:bCs/>
          <w:color w:val="000000" w:themeColor="text1"/>
          <w:sz w:val="24"/>
          <w:szCs w:val="24"/>
        </w:rPr>
        <w:t xml:space="preserve">has </w:t>
      </w:r>
      <w:r w:rsidR="004F2E75" w:rsidRPr="00AC6FB1">
        <w:rPr>
          <w:rFonts w:ascii="Arial Narrow" w:hAnsi="Arial Narrow" w:cs="Arial"/>
          <w:bCs/>
          <w:color w:val="000000" w:themeColor="text1"/>
          <w:sz w:val="24"/>
          <w:szCs w:val="24"/>
        </w:rPr>
        <w:t>free hou</w:t>
      </w:r>
      <w:r w:rsidR="00E72E0D" w:rsidRPr="00AC6FB1">
        <w:rPr>
          <w:rFonts w:ascii="Arial Narrow" w:hAnsi="Arial Narrow" w:cs="Arial"/>
          <w:bCs/>
          <w:color w:val="000000" w:themeColor="text1"/>
          <w:sz w:val="24"/>
          <w:szCs w:val="24"/>
        </w:rPr>
        <w:t xml:space="preserve">sing to the citizens. </w:t>
      </w:r>
      <w:r w:rsidR="00CF3B03" w:rsidRPr="006F0972">
        <w:rPr>
          <w:rFonts w:cs="Arial"/>
          <w:lang w:bidi="bo-CN"/>
        </w:rPr>
        <w:t xml:space="preserve">In </w:t>
      </w:r>
      <w:r w:rsidR="00CF3B03" w:rsidRPr="00CF3B03">
        <w:rPr>
          <w:rFonts w:ascii="Arial Narrow" w:hAnsi="Arial Narrow" w:cs="Arial"/>
          <w:lang w:bidi="bo-CN"/>
        </w:rPr>
        <w:t>mid-1997, the Government and the ADB began development of a sound legal and policy framework for the housing sector in Mongolia.</w:t>
      </w:r>
      <w:r w:rsidR="00CF3B03" w:rsidRPr="006F0972">
        <w:rPr>
          <w:rFonts w:cs="Arial"/>
          <w:lang w:bidi="bo-CN"/>
        </w:rPr>
        <w:t xml:space="preserve"> </w:t>
      </w:r>
      <w:r w:rsidR="00CF3B03">
        <w:rPr>
          <w:rFonts w:ascii="Arial Narrow" w:hAnsi="Arial Narrow" w:cs="Arial"/>
          <w:sz w:val="24"/>
          <w:szCs w:val="24"/>
          <w:lang w:bidi="bo-CN"/>
        </w:rPr>
        <w:t xml:space="preserve">In </w:t>
      </w:r>
      <w:r w:rsidR="004F2E75" w:rsidRPr="00AC6FB1">
        <w:rPr>
          <w:rFonts w:ascii="Arial Narrow" w:hAnsi="Arial Narrow" w:cs="Arial"/>
          <w:sz w:val="24"/>
          <w:szCs w:val="24"/>
          <w:lang w:bidi="bo-CN"/>
        </w:rPr>
        <w:t>1999, the Government approved the Housing Law, National Housing Strategy (NHS) Housing Privatization Law and the Condominium Law.</w:t>
      </w:r>
      <w:r w:rsidR="004F2E75" w:rsidRPr="00AC6FB1">
        <w:rPr>
          <w:rFonts w:ascii="Arial Narrow" w:hAnsi="Arial Narrow" w:cs="Arial"/>
          <w:sz w:val="24"/>
          <w:szCs w:val="24"/>
        </w:rPr>
        <w:t xml:space="preserve"> Under the NHS, housing policies are now to be demand driven, with standards and regulations geared to adequate and affordable housing provided by individuals and enterprises. </w:t>
      </w:r>
    </w:p>
    <w:p w:rsidR="00712BAA" w:rsidRDefault="00712BAA" w:rsidP="00A80014">
      <w:pPr>
        <w:spacing w:line="240" w:lineRule="auto"/>
        <w:jc w:val="both"/>
        <w:rPr>
          <w:rFonts w:ascii="Arial Narrow" w:hAnsi="Arial Narrow" w:cs="Arial"/>
          <w:sz w:val="24"/>
          <w:szCs w:val="24"/>
        </w:rPr>
      </w:pPr>
    </w:p>
    <w:p w:rsidR="00CF3B03" w:rsidRPr="00CF3B03" w:rsidRDefault="00665CEA" w:rsidP="00A80014">
      <w:pPr>
        <w:spacing w:line="240" w:lineRule="auto"/>
        <w:jc w:val="both"/>
        <w:rPr>
          <w:rFonts w:ascii="Arial Narrow" w:hAnsi="Arial Narrow" w:cs="Arial"/>
          <w:sz w:val="24"/>
          <w:szCs w:val="24"/>
        </w:rPr>
      </w:pPr>
      <w:r>
        <w:rPr>
          <w:rFonts w:ascii="Arial Narrow" w:hAnsi="Arial Narrow" w:cs="Arial"/>
          <w:sz w:val="24"/>
          <w:szCs w:val="24"/>
        </w:rPr>
        <w:lastRenderedPageBreak/>
        <w:t>Under the approved</w:t>
      </w:r>
      <w:r w:rsidR="004F2E75" w:rsidRPr="00AC6FB1">
        <w:rPr>
          <w:rFonts w:ascii="Arial Narrow" w:hAnsi="Arial Narrow" w:cs="Arial"/>
          <w:sz w:val="24"/>
          <w:szCs w:val="24"/>
        </w:rPr>
        <w:t xml:space="preserve"> NHS </w:t>
      </w:r>
      <w:r>
        <w:rPr>
          <w:rFonts w:ascii="Arial Narrow" w:hAnsi="Arial Narrow" w:cs="Arial"/>
          <w:sz w:val="24"/>
          <w:szCs w:val="24"/>
        </w:rPr>
        <w:t xml:space="preserve">was </w:t>
      </w:r>
      <w:r w:rsidRPr="00AC6FB1">
        <w:rPr>
          <w:rFonts w:ascii="Arial Narrow" w:hAnsi="Arial Narrow" w:cs="Arial"/>
          <w:sz w:val="24"/>
          <w:szCs w:val="24"/>
        </w:rPr>
        <w:t>designed</w:t>
      </w:r>
      <w:r w:rsidR="004F2E75" w:rsidRPr="00AC6FB1">
        <w:rPr>
          <w:rFonts w:ascii="Arial Narrow" w:hAnsi="Arial Narrow" w:cs="Arial"/>
          <w:sz w:val="24"/>
          <w:szCs w:val="24"/>
        </w:rPr>
        <w:t xml:space="preserve"> to: (i) transfer the financial burden of housing to the private sector; (ii) improve the quality of existing stock; (iii) establish a land registration and valuation system; and (iv) assist vulnerable groups.</w:t>
      </w:r>
    </w:p>
    <w:p w:rsidR="007C55AD" w:rsidRPr="007C55AD" w:rsidRDefault="00E72E0D" w:rsidP="007C55AD">
      <w:pPr>
        <w:spacing w:line="240" w:lineRule="auto"/>
        <w:jc w:val="both"/>
        <w:rPr>
          <w:rFonts w:ascii="Arial Narrow" w:hAnsi="Arial Narrow"/>
          <w:sz w:val="24"/>
          <w:szCs w:val="24"/>
          <w:lang w:val="en-GB"/>
        </w:rPr>
      </w:pPr>
      <w:r w:rsidRPr="00AC6FB1">
        <w:rPr>
          <w:rFonts w:ascii="Arial Narrow" w:hAnsi="Arial Narrow" w:cs="Arial"/>
          <w:sz w:val="24"/>
          <w:szCs w:val="24"/>
          <w:lang w:bidi="bo-CN"/>
        </w:rPr>
        <w:t>In 2000 Asian Development Bank has conducted a housing de</w:t>
      </w:r>
      <w:r w:rsidR="00CF3B03">
        <w:rPr>
          <w:rFonts w:ascii="Arial Narrow" w:hAnsi="Arial Narrow" w:cs="Arial"/>
          <w:sz w:val="24"/>
          <w:szCs w:val="24"/>
          <w:lang w:bidi="bo-CN"/>
        </w:rPr>
        <w:t xml:space="preserve">mand supply study in Mongolia </w:t>
      </w:r>
      <w:r w:rsidR="00BA69B7">
        <w:rPr>
          <w:rFonts w:ascii="Arial Narrow" w:hAnsi="Arial Narrow" w:cs="Arial"/>
          <w:sz w:val="24"/>
          <w:szCs w:val="24"/>
          <w:lang w:bidi="bo-CN"/>
        </w:rPr>
        <w:t>which was the driving force for</w:t>
      </w:r>
      <w:r w:rsidR="00CF3B03">
        <w:rPr>
          <w:rFonts w:ascii="Arial Narrow" w:hAnsi="Arial Narrow" w:cs="Arial"/>
          <w:sz w:val="24"/>
          <w:szCs w:val="24"/>
          <w:lang w:bidi="bo-CN"/>
        </w:rPr>
        <w:t xml:space="preserve"> start of housing finance through commercial bank in Mongolia. ADB implemented </w:t>
      </w:r>
      <w:r w:rsidRPr="00AC6FB1">
        <w:rPr>
          <w:rFonts w:ascii="Arial Narrow" w:hAnsi="Arial Narrow" w:cs="Arial"/>
          <w:sz w:val="24"/>
          <w:szCs w:val="24"/>
          <w:lang w:bidi="bo-CN"/>
        </w:rPr>
        <w:t xml:space="preserve">Housing Finance Sector Project </w:t>
      </w:r>
      <w:r w:rsidR="00A50BE3" w:rsidRPr="00AC6FB1">
        <w:rPr>
          <w:rFonts w:ascii="Arial Narrow" w:hAnsi="Arial Narrow" w:cs="Arial"/>
          <w:sz w:val="24"/>
          <w:szCs w:val="24"/>
          <w:lang w:bidi="bo-CN"/>
        </w:rPr>
        <w:t xml:space="preserve">(HFSP) </w:t>
      </w:r>
      <w:r w:rsidR="00CF3B03">
        <w:rPr>
          <w:rFonts w:ascii="Arial Narrow" w:hAnsi="Arial Narrow" w:cs="Arial"/>
          <w:sz w:val="24"/>
          <w:szCs w:val="24"/>
          <w:lang w:bidi="bo-CN"/>
        </w:rPr>
        <w:t xml:space="preserve">starting </w:t>
      </w:r>
      <w:r w:rsidRPr="00AC6FB1">
        <w:rPr>
          <w:rFonts w:ascii="Arial Narrow" w:hAnsi="Arial Narrow" w:cs="Arial"/>
          <w:sz w:val="24"/>
          <w:szCs w:val="24"/>
          <w:lang w:bidi="bo-CN"/>
        </w:rPr>
        <w:t>in May 2003. Although</w:t>
      </w:r>
      <w:r w:rsidR="00CF3B03">
        <w:rPr>
          <w:rFonts w:ascii="Arial Narrow" w:hAnsi="Arial Narrow" w:cs="Arial"/>
          <w:sz w:val="24"/>
          <w:szCs w:val="24"/>
          <w:lang w:bidi="bo-CN"/>
        </w:rPr>
        <w:t xml:space="preserve"> before the ADB project took place some banks where already issued</w:t>
      </w:r>
      <w:r w:rsidR="00A50BE3" w:rsidRPr="00AC6FB1">
        <w:rPr>
          <w:rFonts w:ascii="Arial Narrow" w:hAnsi="Arial Narrow" w:cs="Arial"/>
          <w:sz w:val="24"/>
          <w:szCs w:val="24"/>
          <w:lang w:bidi="bo-CN"/>
        </w:rPr>
        <w:t xml:space="preserve"> limited</w:t>
      </w:r>
      <w:r w:rsidRPr="00AC6FB1">
        <w:rPr>
          <w:rFonts w:ascii="Arial Narrow" w:hAnsi="Arial Narrow" w:cs="Arial"/>
          <w:sz w:val="24"/>
          <w:szCs w:val="24"/>
          <w:lang w:bidi="bo-CN"/>
        </w:rPr>
        <w:t xml:space="preserve"> mortgage </w:t>
      </w:r>
      <w:r w:rsidR="00A50BE3" w:rsidRPr="00AC6FB1">
        <w:rPr>
          <w:rFonts w:ascii="Arial Narrow" w:hAnsi="Arial Narrow" w:cs="Arial"/>
          <w:sz w:val="24"/>
          <w:szCs w:val="24"/>
          <w:lang w:bidi="bo-CN"/>
        </w:rPr>
        <w:t>lending in 2001</w:t>
      </w:r>
      <w:r w:rsidR="00CF3B03">
        <w:rPr>
          <w:rFonts w:ascii="Arial Narrow" w:hAnsi="Arial Narrow" w:cs="Arial"/>
          <w:sz w:val="24"/>
          <w:szCs w:val="24"/>
          <w:lang w:bidi="bo-CN"/>
        </w:rPr>
        <w:t>. However</w:t>
      </w:r>
      <w:r w:rsidR="00A50BE3" w:rsidRPr="00AC6FB1">
        <w:rPr>
          <w:rFonts w:ascii="Arial Narrow" w:hAnsi="Arial Narrow" w:cs="Arial"/>
          <w:sz w:val="24"/>
          <w:szCs w:val="24"/>
          <w:lang w:bidi="bo-CN"/>
        </w:rPr>
        <w:t xml:space="preserve"> </w:t>
      </w:r>
      <w:r w:rsidR="005920B0" w:rsidRPr="00AC6FB1">
        <w:rPr>
          <w:rFonts w:ascii="Arial Narrow" w:hAnsi="Arial Narrow" w:cs="Arial"/>
          <w:sz w:val="24"/>
          <w:szCs w:val="24"/>
          <w:lang w:bidi="bo-CN"/>
        </w:rPr>
        <w:t xml:space="preserve">the process was kicked off with on-lending activities of the </w:t>
      </w:r>
      <w:r w:rsidR="00A50BE3" w:rsidRPr="00AC6FB1">
        <w:rPr>
          <w:rFonts w:ascii="Arial Narrow" w:hAnsi="Arial Narrow" w:cs="Arial"/>
          <w:sz w:val="24"/>
          <w:szCs w:val="24"/>
          <w:lang w:bidi="bo-CN"/>
        </w:rPr>
        <w:t xml:space="preserve">ADB Housing Finance Sector Project. </w:t>
      </w:r>
      <w:r w:rsidR="005920B0" w:rsidRPr="00AC6FB1">
        <w:rPr>
          <w:rFonts w:ascii="Arial Narrow" w:hAnsi="Arial Narrow" w:cs="Arial"/>
          <w:sz w:val="24"/>
          <w:szCs w:val="24"/>
          <w:lang w:bidi="bo-CN"/>
        </w:rPr>
        <w:t xml:space="preserve">Five banks participated in that program: Anod, Golomt, </w:t>
      </w:r>
      <w:r w:rsidR="005920B0" w:rsidRPr="007C55AD">
        <w:rPr>
          <w:rFonts w:ascii="Arial Narrow" w:hAnsi="Arial Narrow" w:cs="Arial"/>
          <w:sz w:val="24"/>
          <w:szCs w:val="24"/>
          <w:lang w:bidi="bo-CN"/>
        </w:rPr>
        <w:t>Mongol Post, Savings and Zoos banks.</w:t>
      </w:r>
      <w:r w:rsidR="002F01EE" w:rsidRPr="007C55AD">
        <w:rPr>
          <w:rFonts w:ascii="Arial Narrow" w:hAnsi="Arial Narrow" w:cs="Arial"/>
          <w:sz w:val="24"/>
          <w:szCs w:val="24"/>
          <w:lang w:bidi="bo-CN"/>
        </w:rPr>
        <w:t xml:space="preserve"> The ADB Housing Finance Project funds were fully disbursed in 2005 and principal repayments are used as a revolver to refinance additional loans. As of December 21 2007, over 2,400 loans totaling MNT 28.2 billion have been disbursed under this project.</w:t>
      </w:r>
      <w:r w:rsidR="007C55AD" w:rsidRPr="007C55AD">
        <w:rPr>
          <w:rFonts w:ascii="Arial Narrow" w:hAnsi="Arial Narrow"/>
          <w:sz w:val="24"/>
          <w:szCs w:val="24"/>
        </w:rPr>
        <w:t xml:space="preserve"> In 2007 the property price value has doubled. </w:t>
      </w:r>
      <w:r w:rsidR="007C55AD" w:rsidRPr="007C55AD">
        <w:rPr>
          <w:rFonts w:ascii="Arial Narrow" w:hAnsi="Arial Narrow"/>
          <w:sz w:val="24"/>
          <w:szCs w:val="24"/>
          <w:lang w:val="en-GB"/>
        </w:rPr>
        <w:t xml:space="preserve">The banks, in particular, have seen problems with their lending to real estate developments and construction that built hundreds of upmarket apartments that are now partially completed but still unsold. On the other hand price increase made individuals harder to afford the housing loans. </w:t>
      </w:r>
    </w:p>
    <w:p w:rsidR="002F01EE" w:rsidRPr="00AC6FB1" w:rsidRDefault="002F01EE" w:rsidP="00A80014">
      <w:pPr>
        <w:spacing w:line="240" w:lineRule="auto"/>
        <w:jc w:val="both"/>
        <w:rPr>
          <w:rFonts w:ascii="Arial Narrow" w:hAnsi="Arial Narrow" w:cs="Arial"/>
          <w:sz w:val="24"/>
          <w:szCs w:val="24"/>
        </w:rPr>
      </w:pPr>
      <w:r w:rsidRPr="00AC6FB1">
        <w:rPr>
          <w:rFonts w:ascii="Arial Narrow" w:hAnsi="Arial Narrow" w:cs="Arial"/>
          <w:sz w:val="24"/>
          <w:szCs w:val="24"/>
          <w:lang w:bidi="bo-CN"/>
        </w:rPr>
        <w:t>Steady increase on mortgage lending in banking sec</w:t>
      </w:r>
      <w:r w:rsidR="00CF3B03">
        <w:rPr>
          <w:rFonts w:ascii="Arial Narrow" w:hAnsi="Arial Narrow" w:cs="Arial"/>
          <w:sz w:val="24"/>
          <w:szCs w:val="24"/>
          <w:lang w:bidi="bo-CN"/>
        </w:rPr>
        <w:t xml:space="preserve">tor has continued till the 2008. On </w:t>
      </w:r>
      <w:r w:rsidRPr="00AC6FB1">
        <w:rPr>
          <w:rFonts w:ascii="Arial Narrow" w:hAnsi="Arial Narrow" w:cs="Arial"/>
          <w:sz w:val="24"/>
          <w:szCs w:val="24"/>
        </w:rPr>
        <w:t>2008 most b</w:t>
      </w:r>
      <w:r w:rsidR="00CF3B03">
        <w:rPr>
          <w:rFonts w:ascii="Arial Narrow" w:hAnsi="Arial Narrow" w:cs="Arial"/>
          <w:sz w:val="24"/>
          <w:szCs w:val="24"/>
        </w:rPr>
        <w:t xml:space="preserve">anks has stopped issuing mortgage </w:t>
      </w:r>
      <w:r w:rsidR="00BA69B7">
        <w:rPr>
          <w:rFonts w:ascii="Arial Narrow" w:hAnsi="Arial Narrow" w:cs="Arial"/>
          <w:sz w:val="24"/>
          <w:szCs w:val="24"/>
        </w:rPr>
        <w:t>loans.</w:t>
      </w:r>
      <w:r w:rsidR="00BA69B7" w:rsidRPr="00AC6FB1">
        <w:rPr>
          <w:rFonts w:ascii="Arial Narrow" w:hAnsi="Arial Narrow" w:cs="Arial"/>
          <w:sz w:val="24"/>
          <w:szCs w:val="24"/>
        </w:rPr>
        <w:t xml:space="preserve"> Some</w:t>
      </w:r>
      <w:r w:rsidRPr="00AC6FB1">
        <w:rPr>
          <w:rFonts w:ascii="Arial Narrow" w:hAnsi="Arial Narrow" w:cs="Arial"/>
          <w:sz w:val="24"/>
          <w:szCs w:val="24"/>
        </w:rPr>
        <w:t xml:space="preserve"> of largest banks have reached their limits, The reason of decrease of the housing loans were: (1) banks reached limits in housing and construction loans, (2) lack of additional funding for banks, (3) bank’s total housing and construction loan growth was high recent years, (4) pay-back period was long /5-10 years/. Though banks have slowed down of the housing loans, demand for housing loans are still high. This resulted in deposit interest rate increase for banks to get additional resources. On the other hand, the increase of construction materials prices lowered opportunities for low-income population to pay for newly constructed apartments. Construction sector growth had also decreased due to inability of people to pay for housing. Moreover, decline in construction lending left many construction works unfinished. Banks and Government made series of steps to inflow funds</w:t>
      </w:r>
      <w:r w:rsidR="008F292F">
        <w:rPr>
          <w:rFonts w:ascii="Arial Narrow" w:hAnsi="Arial Narrow" w:cs="Arial"/>
          <w:sz w:val="24"/>
          <w:szCs w:val="24"/>
        </w:rPr>
        <w:t xml:space="preserve"> to the construction sector. Bank of Mongolia /BoM/</w:t>
      </w:r>
      <w:r w:rsidRPr="00AC6FB1">
        <w:rPr>
          <w:rFonts w:ascii="Arial Narrow" w:hAnsi="Arial Narrow" w:cs="Arial"/>
          <w:sz w:val="24"/>
          <w:szCs w:val="24"/>
        </w:rPr>
        <w:t xml:space="preserve"> took steps to lend resources to commercial banks in order to issue loans for unfinished constructions. The tendency with housing and construction loans after the first half of 2008 was to improve. The situation was improved after banks received additional funding from domestic and foreign markets.               </w:t>
      </w:r>
    </w:p>
    <w:p w:rsidR="008B530A" w:rsidRDefault="008B530A" w:rsidP="008B530A">
      <w:pPr>
        <w:spacing w:line="240" w:lineRule="auto"/>
        <w:jc w:val="both"/>
        <w:rPr>
          <w:rFonts w:ascii="Arial Narrow" w:eastAsia="Times New Roman" w:hAnsi="Arial Narrow" w:cs="Arial"/>
          <w:sz w:val="24"/>
          <w:szCs w:val="24"/>
        </w:rPr>
      </w:pPr>
      <w:r w:rsidRPr="00AC6FB1">
        <w:rPr>
          <w:rFonts w:ascii="Arial Narrow" w:hAnsi="Arial Narrow" w:cs="Arial"/>
          <w:sz w:val="24"/>
          <w:szCs w:val="24"/>
        </w:rPr>
        <w:t>Even though mortgage lending was relatively low till the mid 2010 rapid recovery has ta</w:t>
      </w:r>
      <w:r w:rsidR="008F292F">
        <w:rPr>
          <w:rFonts w:ascii="Arial Narrow" w:hAnsi="Arial Narrow" w:cs="Arial"/>
          <w:sz w:val="24"/>
          <w:szCs w:val="24"/>
        </w:rPr>
        <w:t xml:space="preserve">ken place at the end of 2010 </w:t>
      </w:r>
      <w:r w:rsidRPr="00AC6FB1">
        <w:rPr>
          <w:rFonts w:ascii="Arial Narrow" w:hAnsi="Arial Narrow" w:cs="Arial"/>
          <w:sz w:val="24"/>
          <w:szCs w:val="24"/>
        </w:rPr>
        <w:t>r</w:t>
      </w:r>
      <w:r w:rsidR="008F292F">
        <w:rPr>
          <w:rFonts w:ascii="Arial Narrow" w:hAnsi="Arial Narrow" w:cs="Arial"/>
          <w:sz w:val="24"/>
          <w:szCs w:val="24"/>
        </w:rPr>
        <w:t>eaching</w:t>
      </w:r>
      <w:r w:rsidRPr="00AC6FB1">
        <w:rPr>
          <w:rFonts w:ascii="Arial Narrow" w:hAnsi="Arial Narrow" w:cs="Arial"/>
          <w:sz w:val="24"/>
          <w:szCs w:val="24"/>
        </w:rPr>
        <w:t xml:space="preserve"> 333 billion MNT to 19700 borrowers. T</w:t>
      </w:r>
      <w:r w:rsidRPr="00AC6FB1">
        <w:rPr>
          <w:rFonts w:ascii="Arial Narrow" w:hAnsi="Arial Narrow" w:cs="Arial"/>
          <w:sz w:val="24"/>
          <w:szCs w:val="24"/>
          <w:lang w:bidi="bo-CN"/>
        </w:rPr>
        <w:t xml:space="preserve">he number has doubled in 2011 </w:t>
      </w:r>
      <w:r w:rsidR="008F292F">
        <w:rPr>
          <w:rFonts w:ascii="Arial Narrow" w:hAnsi="Arial Narrow" w:cs="Arial"/>
          <w:sz w:val="24"/>
          <w:szCs w:val="24"/>
          <w:lang w:bidi="bo-CN"/>
        </w:rPr>
        <w:t xml:space="preserve">with </w:t>
      </w:r>
      <w:r w:rsidRPr="00AC6FB1">
        <w:rPr>
          <w:rFonts w:ascii="Arial Narrow" w:hAnsi="Arial Narrow" w:cs="Arial"/>
          <w:sz w:val="24"/>
          <w:szCs w:val="24"/>
          <w:lang w:bidi="bo-CN"/>
        </w:rPr>
        <w:t xml:space="preserve">656 billion MNT mortgage loans to </w:t>
      </w:r>
      <w:r w:rsidR="008F292F">
        <w:rPr>
          <w:rFonts w:ascii="Arial Narrow" w:hAnsi="Arial Narrow" w:cs="Arial"/>
          <w:sz w:val="24"/>
          <w:szCs w:val="24"/>
          <w:lang w:bidi="bo-CN"/>
        </w:rPr>
        <w:t xml:space="preserve">some </w:t>
      </w:r>
      <w:r w:rsidRPr="00AC6FB1">
        <w:rPr>
          <w:rFonts w:ascii="Arial Narrow" w:eastAsia="Times New Roman" w:hAnsi="Arial Narrow" w:cs="Arial"/>
          <w:sz w:val="24"/>
          <w:szCs w:val="24"/>
        </w:rPr>
        <w:t>24</w:t>
      </w:r>
      <w:r w:rsidR="008F292F">
        <w:rPr>
          <w:rFonts w:ascii="Arial Narrow" w:eastAsia="Times New Roman" w:hAnsi="Arial Narrow" w:cs="Arial"/>
          <w:sz w:val="24"/>
          <w:szCs w:val="24"/>
        </w:rPr>
        <w:t xml:space="preserve"> 000 </w:t>
      </w:r>
      <w:r w:rsidRPr="00AC6FB1">
        <w:rPr>
          <w:rFonts w:ascii="Arial Narrow" w:eastAsia="Times New Roman" w:hAnsi="Arial Narrow" w:cs="Arial"/>
          <w:sz w:val="24"/>
          <w:szCs w:val="24"/>
        </w:rPr>
        <w:t>borrowers.</w:t>
      </w:r>
      <w:r w:rsidR="00712BAA">
        <w:rPr>
          <w:rFonts w:ascii="Arial Narrow" w:eastAsia="Times New Roman" w:hAnsi="Arial Narrow" w:cs="Arial"/>
          <w:sz w:val="24"/>
          <w:szCs w:val="24"/>
        </w:rPr>
        <w:t xml:space="preserve"> There 11 commercial banks mortgage using mortgage lending activities in Mongolia</w:t>
      </w:r>
    </w:p>
    <w:p w:rsidR="00060048" w:rsidRPr="00060048" w:rsidRDefault="00060048" w:rsidP="008B530A">
      <w:pPr>
        <w:spacing w:line="240" w:lineRule="auto"/>
        <w:jc w:val="both"/>
        <w:rPr>
          <w:rFonts w:ascii="Arial Narrow" w:hAnsi="Arial Narrow" w:cs="Arial"/>
          <w:bCs/>
          <w:color w:val="000000" w:themeColor="text1"/>
          <w:sz w:val="16"/>
          <w:szCs w:val="16"/>
        </w:rPr>
      </w:pPr>
      <w:r>
        <w:rPr>
          <w:rFonts w:ascii="Arial Narrow" w:hAnsi="Arial Narrow" w:cs="Arial"/>
          <w:bCs/>
          <w:color w:val="000000" w:themeColor="text1"/>
          <w:sz w:val="16"/>
          <w:szCs w:val="16"/>
        </w:rPr>
        <w:t xml:space="preserve">    Table 2</w:t>
      </w:r>
      <w:r w:rsidRPr="00060048">
        <w:rPr>
          <w:rFonts w:ascii="Arial Narrow" w:hAnsi="Arial Narrow" w:cs="Arial"/>
          <w:bCs/>
          <w:color w:val="000000" w:themeColor="text1"/>
          <w:sz w:val="16"/>
          <w:szCs w:val="16"/>
        </w:rPr>
        <w:t xml:space="preserve">. </w:t>
      </w:r>
      <w:r>
        <w:rPr>
          <w:rFonts w:ascii="Arial Narrow" w:hAnsi="Arial Narrow" w:cs="Arial"/>
          <w:bCs/>
          <w:color w:val="000000" w:themeColor="text1"/>
          <w:sz w:val="16"/>
          <w:szCs w:val="16"/>
        </w:rPr>
        <w:t>Core market indicators</w:t>
      </w:r>
      <w:r w:rsidR="007C0B6B">
        <w:rPr>
          <w:rFonts w:ascii="Arial Narrow" w:hAnsi="Arial Narrow" w:cs="Arial"/>
          <w:bCs/>
          <w:color w:val="000000" w:themeColor="text1"/>
          <w:sz w:val="16"/>
          <w:szCs w:val="16"/>
        </w:rPr>
        <w:t xml:space="preserve"> in mortgage market in Mongolia.</w:t>
      </w:r>
      <w:r w:rsidR="007C0B6B" w:rsidRPr="007C0B6B">
        <w:rPr>
          <w:rFonts w:ascii="Arial Narrow" w:hAnsi="Arial Narrow"/>
          <w:sz w:val="18"/>
          <w:szCs w:val="18"/>
        </w:rPr>
        <w:t xml:space="preserve"> </w:t>
      </w:r>
      <w:r w:rsidR="007C0B6B" w:rsidRPr="00596A3D">
        <w:rPr>
          <w:rFonts w:ascii="Arial Narrow" w:hAnsi="Arial Narrow"/>
          <w:i/>
          <w:sz w:val="18"/>
          <w:szCs w:val="18"/>
        </w:rPr>
        <w:t>Source: Bank of Mongolia and National Statistic Office of Mongolia</w:t>
      </w:r>
    </w:p>
    <w:tbl>
      <w:tblPr>
        <w:tblStyle w:val="LightShading-Accent2"/>
        <w:tblW w:w="9558" w:type="dxa"/>
        <w:tblLook w:val="04A0" w:firstRow="1" w:lastRow="0" w:firstColumn="1" w:lastColumn="0" w:noHBand="0" w:noVBand="1"/>
      </w:tblPr>
      <w:tblGrid>
        <w:gridCol w:w="5418"/>
        <w:gridCol w:w="1350"/>
        <w:gridCol w:w="1350"/>
        <w:gridCol w:w="1440"/>
      </w:tblGrid>
      <w:tr w:rsidR="008B530A" w:rsidRPr="008B530A" w:rsidTr="00D94171">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418" w:type="dxa"/>
            <w:hideMark/>
          </w:tcPr>
          <w:p w:rsidR="008B530A" w:rsidRPr="008B530A" w:rsidRDefault="008B530A" w:rsidP="008B530A">
            <w:pPr>
              <w:rPr>
                <w:rFonts w:ascii="Arial" w:eastAsia="Times New Roman" w:hAnsi="Arial" w:cs="Arial"/>
                <w:color w:val="auto"/>
                <w:sz w:val="20"/>
                <w:szCs w:val="16"/>
              </w:rPr>
            </w:pPr>
            <w:r w:rsidRPr="008B530A">
              <w:rPr>
                <w:rFonts w:ascii="Arial" w:eastAsia="Times New Roman" w:hAnsi="Arial" w:cs="Arial"/>
                <w:color w:val="auto"/>
                <w:sz w:val="20"/>
                <w:szCs w:val="16"/>
              </w:rPr>
              <w:t>Market Indicators</w:t>
            </w:r>
          </w:p>
        </w:tc>
        <w:tc>
          <w:tcPr>
            <w:tcW w:w="1350" w:type="dxa"/>
            <w:hideMark/>
          </w:tcPr>
          <w:p w:rsidR="008B530A" w:rsidRPr="008B530A" w:rsidRDefault="008B530A" w:rsidP="008B530A">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16"/>
              </w:rPr>
            </w:pPr>
            <w:r w:rsidRPr="008B530A">
              <w:rPr>
                <w:rFonts w:ascii="Arial" w:eastAsia="Times New Roman" w:hAnsi="Arial" w:cs="Arial"/>
                <w:color w:val="auto"/>
                <w:sz w:val="20"/>
                <w:szCs w:val="16"/>
              </w:rPr>
              <w:t>2009</w:t>
            </w:r>
          </w:p>
        </w:tc>
        <w:tc>
          <w:tcPr>
            <w:tcW w:w="1350" w:type="dxa"/>
            <w:hideMark/>
          </w:tcPr>
          <w:p w:rsidR="008B530A" w:rsidRPr="008B530A" w:rsidRDefault="008B530A" w:rsidP="008B530A">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16"/>
              </w:rPr>
            </w:pPr>
            <w:r w:rsidRPr="008B530A">
              <w:rPr>
                <w:rFonts w:ascii="Arial" w:eastAsia="Times New Roman" w:hAnsi="Arial" w:cs="Arial"/>
                <w:color w:val="auto"/>
                <w:sz w:val="20"/>
                <w:szCs w:val="16"/>
              </w:rPr>
              <w:t>2010</w:t>
            </w:r>
          </w:p>
        </w:tc>
        <w:tc>
          <w:tcPr>
            <w:tcW w:w="1440" w:type="dxa"/>
            <w:hideMark/>
          </w:tcPr>
          <w:p w:rsidR="008B530A" w:rsidRPr="008B530A" w:rsidRDefault="008B530A" w:rsidP="008B530A">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16"/>
              </w:rPr>
            </w:pPr>
            <w:r w:rsidRPr="008B530A">
              <w:rPr>
                <w:rFonts w:ascii="Arial" w:eastAsia="Times New Roman" w:hAnsi="Arial" w:cs="Arial"/>
                <w:color w:val="auto"/>
                <w:sz w:val="20"/>
                <w:szCs w:val="16"/>
              </w:rPr>
              <w:t>2011</w:t>
            </w:r>
          </w:p>
        </w:tc>
      </w:tr>
      <w:tr w:rsidR="008B530A" w:rsidRPr="008B530A" w:rsidTr="00D94171">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5418" w:type="dxa"/>
            <w:hideMark/>
          </w:tcPr>
          <w:p w:rsidR="008B530A" w:rsidRPr="008B530A" w:rsidRDefault="008B530A" w:rsidP="008B530A">
            <w:pPr>
              <w:rPr>
                <w:rFonts w:ascii="Arial" w:eastAsia="Times New Roman" w:hAnsi="Arial" w:cs="Arial"/>
                <w:color w:val="auto"/>
                <w:sz w:val="16"/>
                <w:szCs w:val="16"/>
              </w:rPr>
            </w:pPr>
            <w:r w:rsidRPr="00D94171">
              <w:rPr>
                <w:rFonts w:ascii="Arial" w:eastAsia="Times New Roman" w:hAnsi="Arial" w:cs="Arial"/>
                <w:b w:val="0"/>
                <w:bCs w:val="0"/>
                <w:color w:val="auto"/>
                <w:sz w:val="16"/>
                <w:szCs w:val="16"/>
              </w:rPr>
              <w:t>Debt Outstanding (MLN MNT</w:t>
            </w:r>
            <w:r w:rsidRPr="008B530A">
              <w:rPr>
                <w:rFonts w:ascii="Arial" w:eastAsia="Times New Roman" w:hAnsi="Arial" w:cs="Arial"/>
                <w:color w:val="auto"/>
                <w:sz w:val="16"/>
                <w:szCs w:val="16"/>
              </w:rPr>
              <w:t>)</w:t>
            </w:r>
          </w:p>
        </w:tc>
        <w:tc>
          <w:tcPr>
            <w:tcW w:w="1350" w:type="dxa"/>
            <w:hideMark/>
          </w:tcPr>
          <w:p w:rsidR="008B530A" w:rsidRPr="008B530A" w:rsidRDefault="008B530A" w:rsidP="00D9417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 xml:space="preserve">          </w:t>
            </w:r>
            <w:r w:rsidR="00D94171">
              <w:rPr>
                <w:rFonts w:ascii="Arial" w:eastAsia="Times New Roman" w:hAnsi="Arial" w:cs="Arial"/>
                <w:color w:val="auto"/>
                <w:sz w:val="16"/>
                <w:szCs w:val="16"/>
              </w:rPr>
              <w:t>2</w:t>
            </w:r>
            <w:r w:rsidRPr="008B530A">
              <w:rPr>
                <w:rFonts w:ascii="Arial" w:eastAsia="Times New Roman" w:hAnsi="Arial" w:cs="Arial"/>
                <w:color w:val="auto"/>
                <w:sz w:val="16"/>
                <w:szCs w:val="16"/>
              </w:rPr>
              <w:t xml:space="preserve">26,040.64 </w:t>
            </w:r>
          </w:p>
        </w:tc>
        <w:tc>
          <w:tcPr>
            <w:tcW w:w="1350" w:type="dxa"/>
            <w:hideMark/>
          </w:tcPr>
          <w:p w:rsidR="008B530A" w:rsidRPr="008B530A" w:rsidRDefault="008B530A" w:rsidP="00D9417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 xml:space="preserve">                333,776.60 </w:t>
            </w:r>
          </w:p>
        </w:tc>
        <w:tc>
          <w:tcPr>
            <w:tcW w:w="1440" w:type="dxa"/>
            <w:hideMark/>
          </w:tcPr>
          <w:p w:rsidR="008B530A" w:rsidRPr="008B530A" w:rsidRDefault="00D94171" w:rsidP="00D9417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rPr>
            </w:pPr>
            <w:r>
              <w:rPr>
                <w:rFonts w:ascii="Arial" w:eastAsia="Times New Roman" w:hAnsi="Arial" w:cs="Arial"/>
                <w:color w:val="auto"/>
                <w:sz w:val="16"/>
                <w:szCs w:val="16"/>
              </w:rPr>
              <w:t xml:space="preserve">                </w:t>
            </w:r>
            <w:r w:rsidR="008B530A" w:rsidRPr="008B530A">
              <w:rPr>
                <w:rFonts w:ascii="Arial" w:eastAsia="Times New Roman" w:hAnsi="Arial" w:cs="Arial"/>
                <w:color w:val="auto"/>
                <w:sz w:val="16"/>
                <w:szCs w:val="16"/>
              </w:rPr>
              <w:t xml:space="preserve">656,491.07 </w:t>
            </w:r>
          </w:p>
        </w:tc>
      </w:tr>
      <w:tr w:rsidR="008B530A" w:rsidRPr="008B530A" w:rsidTr="00D94171">
        <w:trPr>
          <w:trHeight w:val="333"/>
        </w:trPr>
        <w:tc>
          <w:tcPr>
            <w:cnfStyle w:val="001000000000" w:firstRow="0" w:lastRow="0" w:firstColumn="1" w:lastColumn="0" w:oddVBand="0" w:evenVBand="0" w:oddHBand="0" w:evenHBand="0" w:firstRowFirstColumn="0" w:firstRowLastColumn="0" w:lastRowFirstColumn="0" w:lastRowLastColumn="0"/>
            <w:tcW w:w="5418" w:type="dxa"/>
            <w:hideMark/>
          </w:tcPr>
          <w:p w:rsidR="008B530A" w:rsidRPr="008B530A" w:rsidRDefault="008B530A" w:rsidP="008B530A">
            <w:pPr>
              <w:rPr>
                <w:rFonts w:ascii="Arial" w:eastAsia="Times New Roman" w:hAnsi="Arial" w:cs="Arial"/>
                <w:color w:val="auto"/>
                <w:sz w:val="16"/>
                <w:szCs w:val="16"/>
              </w:rPr>
            </w:pPr>
            <w:r w:rsidRPr="008B530A">
              <w:rPr>
                <w:rFonts w:ascii="Arial" w:eastAsia="Times New Roman" w:hAnsi="Arial" w:cs="Arial"/>
                <w:color w:val="auto"/>
                <w:sz w:val="16"/>
                <w:szCs w:val="16"/>
              </w:rPr>
              <w:t>Mortgage market percentage of Systemic Loan market , %</w:t>
            </w:r>
          </w:p>
        </w:tc>
        <w:tc>
          <w:tcPr>
            <w:tcW w:w="1350" w:type="dxa"/>
            <w:hideMark/>
          </w:tcPr>
          <w:p w:rsidR="008B530A" w:rsidRPr="008B530A" w:rsidRDefault="008B530A" w:rsidP="00D9417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8.59%</w:t>
            </w:r>
          </w:p>
        </w:tc>
        <w:tc>
          <w:tcPr>
            <w:tcW w:w="1350" w:type="dxa"/>
            <w:hideMark/>
          </w:tcPr>
          <w:p w:rsidR="008B530A" w:rsidRPr="008B530A" w:rsidRDefault="008B530A" w:rsidP="00D9417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10.72%</w:t>
            </w:r>
          </w:p>
        </w:tc>
        <w:tc>
          <w:tcPr>
            <w:tcW w:w="1440" w:type="dxa"/>
            <w:hideMark/>
          </w:tcPr>
          <w:p w:rsidR="008B530A" w:rsidRPr="008B530A" w:rsidRDefault="008B530A" w:rsidP="00D9417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11.64%</w:t>
            </w:r>
          </w:p>
        </w:tc>
      </w:tr>
      <w:tr w:rsidR="008B530A" w:rsidRPr="008B530A" w:rsidTr="00D941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18" w:type="dxa"/>
            <w:hideMark/>
          </w:tcPr>
          <w:p w:rsidR="008B530A" w:rsidRPr="008B530A" w:rsidRDefault="008B530A" w:rsidP="008B530A">
            <w:pPr>
              <w:rPr>
                <w:rFonts w:ascii="Arial" w:eastAsia="Times New Roman" w:hAnsi="Arial" w:cs="Arial"/>
                <w:color w:val="auto"/>
                <w:sz w:val="16"/>
                <w:szCs w:val="16"/>
              </w:rPr>
            </w:pPr>
            <w:r w:rsidRPr="008B530A">
              <w:rPr>
                <w:rFonts w:ascii="Arial" w:eastAsia="Times New Roman" w:hAnsi="Arial" w:cs="Arial"/>
                <w:color w:val="auto"/>
                <w:sz w:val="16"/>
                <w:szCs w:val="16"/>
              </w:rPr>
              <w:t>Total Sy</w:t>
            </w:r>
            <w:r w:rsidRPr="00D94171">
              <w:rPr>
                <w:rFonts w:ascii="Arial" w:eastAsia="Times New Roman" w:hAnsi="Arial" w:cs="Arial"/>
                <w:b w:val="0"/>
                <w:bCs w:val="0"/>
                <w:color w:val="auto"/>
                <w:sz w:val="16"/>
                <w:szCs w:val="16"/>
              </w:rPr>
              <w:t>stemic Debt Outstanding /MLN MNT</w:t>
            </w:r>
            <w:r w:rsidRPr="008B530A">
              <w:rPr>
                <w:rFonts w:ascii="Arial" w:eastAsia="Times New Roman" w:hAnsi="Arial" w:cs="Arial"/>
                <w:color w:val="auto"/>
                <w:sz w:val="16"/>
                <w:szCs w:val="16"/>
              </w:rPr>
              <w:t>/</w:t>
            </w:r>
          </w:p>
        </w:tc>
        <w:tc>
          <w:tcPr>
            <w:tcW w:w="1350" w:type="dxa"/>
            <w:hideMark/>
          </w:tcPr>
          <w:p w:rsidR="008B530A" w:rsidRPr="008B530A" w:rsidRDefault="008B530A" w:rsidP="00D9417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 xml:space="preserve">             2,632,031.13 </w:t>
            </w:r>
          </w:p>
        </w:tc>
        <w:tc>
          <w:tcPr>
            <w:tcW w:w="1350" w:type="dxa"/>
            <w:hideMark/>
          </w:tcPr>
          <w:p w:rsidR="008B530A" w:rsidRPr="008B530A" w:rsidRDefault="008B530A" w:rsidP="00D9417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 xml:space="preserve">             3,112,495.28 </w:t>
            </w:r>
          </w:p>
        </w:tc>
        <w:tc>
          <w:tcPr>
            <w:tcW w:w="1440" w:type="dxa"/>
            <w:hideMark/>
          </w:tcPr>
          <w:p w:rsidR="008B530A" w:rsidRPr="008B530A" w:rsidRDefault="008B530A" w:rsidP="00D9417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5,641,233.70</w:t>
            </w:r>
          </w:p>
        </w:tc>
      </w:tr>
      <w:tr w:rsidR="008B530A" w:rsidRPr="008B530A" w:rsidTr="00D94171">
        <w:trPr>
          <w:trHeight w:val="315"/>
        </w:trPr>
        <w:tc>
          <w:tcPr>
            <w:cnfStyle w:val="001000000000" w:firstRow="0" w:lastRow="0" w:firstColumn="1" w:lastColumn="0" w:oddVBand="0" w:evenVBand="0" w:oddHBand="0" w:evenHBand="0" w:firstRowFirstColumn="0" w:firstRowLastColumn="0" w:lastRowFirstColumn="0" w:lastRowLastColumn="0"/>
            <w:tcW w:w="5418" w:type="dxa"/>
            <w:hideMark/>
          </w:tcPr>
          <w:p w:rsidR="008B530A" w:rsidRPr="008B530A" w:rsidRDefault="008B530A" w:rsidP="008B530A">
            <w:pPr>
              <w:rPr>
                <w:rFonts w:ascii="Arial" w:eastAsia="Times New Roman" w:hAnsi="Arial" w:cs="Arial"/>
                <w:color w:val="auto"/>
                <w:sz w:val="16"/>
                <w:szCs w:val="16"/>
              </w:rPr>
            </w:pPr>
            <w:r w:rsidRPr="008B530A">
              <w:rPr>
                <w:rFonts w:ascii="Arial" w:eastAsia="Times New Roman" w:hAnsi="Arial" w:cs="Arial"/>
                <w:color w:val="auto"/>
                <w:sz w:val="16"/>
                <w:szCs w:val="16"/>
              </w:rPr>
              <w:t>Total Debt Outstanding  Changes,%</w:t>
            </w:r>
          </w:p>
        </w:tc>
        <w:tc>
          <w:tcPr>
            <w:tcW w:w="1350" w:type="dxa"/>
            <w:hideMark/>
          </w:tcPr>
          <w:p w:rsidR="008B530A" w:rsidRPr="008B530A" w:rsidRDefault="008B530A" w:rsidP="00D9417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3.70%</w:t>
            </w:r>
          </w:p>
        </w:tc>
        <w:tc>
          <w:tcPr>
            <w:tcW w:w="1350" w:type="dxa"/>
            <w:hideMark/>
          </w:tcPr>
          <w:p w:rsidR="008B530A" w:rsidRPr="008B530A" w:rsidRDefault="008B530A" w:rsidP="00D9417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47.66%</w:t>
            </w:r>
          </w:p>
        </w:tc>
        <w:tc>
          <w:tcPr>
            <w:tcW w:w="1440" w:type="dxa"/>
            <w:hideMark/>
          </w:tcPr>
          <w:p w:rsidR="008B530A" w:rsidRPr="008B530A" w:rsidRDefault="008B530A" w:rsidP="00D9417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96.69%</w:t>
            </w:r>
          </w:p>
        </w:tc>
      </w:tr>
      <w:tr w:rsidR="008B530A" w:rsidRPr="008B530A" w:rsidTr="00D941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18" w:type="dxa"/>
            <w:hideMark/>
          </w:tcPr>
          <w:p w:rsidR="008B530A" w:rsidRPr="008B530A" w:rsidRDefault="008B530A" w:rsidP="008B530A">
            <w:pPr>
              <w:rPr>
                <w:rFonts w:ascii="Arial" w:eastAsia="Times New Roman" w:hAnsi="Arial" w:cs="Arial"/>
                <w:color w:val="auto"/>
                <w:sz w:val="16"/>
                <w:szCs w:val="16"/>
              </w:rPr>
            </w:pPr>
            <w:r w:rsidRPr="008B530A">
              <w:rPr>
                <w:rFonts w:ascii="Arial" w:eastAsia="Times New Roman" w:hAnsi="Arial" w:cs="Arial"/>
                <w:color w:val="auto"/>
                <w:sz w:val="16"/>
                <w:szCs w:val="16"/>
              </w:rPr>
              <w:t>Total Debt Ou</w:t>
            </w:r>
            <w:r w:rsidRPr="00D94171">
              <w:rPr>
                <w:rFonts w:ascii="Arial" w:eastAsia="Times New Roman" w:hAnsi="Arial" w:cs="Arial"/>
                <w:b w:val="0"/>
                <w:bCs w:val="0"/>
                <w:color w:val="auto"/>
                <w:sz w:val="16"/>
                <w:szCs w:val="16"/>
              </w:rPr>
              <w:t>tstanding Per Borrowers (MLN MNT</w:t>
            </w:r>
            <w:r w:rsidRPr="008B530A">
              <w:rPr>
                <w:rFonts w:ascii="Arial" w:eastAsia="Times New Roman" w:hAnsi="Arial" w:cs="Arial"/>
                <w:color w:val="auto"/>
                <w:sz w:val="16"/>
                <w:szCs w:val="16"/>
              </w:rPr>
              <w:t>)</w:t>
            </w:r>
          </w:p>
        </w:tc>
        <w:tc>
          <w:tcPr>
            <w:tcW w:w="1350" w:type="dxa"/>
            <w:hideMark/>
          </w:tcPr>
          <w:p w:rsidR="008B530A" w:rsidRPr="008B530A" w:rsidRDefault="008B530A" w:rsidP="00D9417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 xml:space="preserve">                         13.47 </w:t>
            </w:r>
          </w:p>
        </w:tc>
        <w:tc>
          <w:tcPr>
            <w:tcW w:w="1350" w:type="dxa"/>
            <w:hideMark/>
          </w:tcPr>
          <w:p w:rsidR="008B530A" w:rsidRPr="008B530A" w:rsidRDefault="008B530A" w:rsidP="00D9417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 xml:space="preserve">                         16.94 </w:t>
            </w:r>
          </w:p>
        </w:tc>
        <w:tc>
          <w:tcPr>
            <w:tcW w:w="1440" w:type="dxa"/>
            <w:hideMark/>
          </w:tcPr>
          <w:p w:rsidR="008B530A" w:rsidRPr="008B530A" w:rsidRDefault="008B530A" w:rsidP="00D9417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 xml:space="preserve">                      24.78 </w:t>
            </w:r>
          </w:p>
        </w:tc>
      </w:tr>
      <w:tr w:rsidR="008B530A" w:rsidRPr="008B530A" w:rsidTr="00D94171">
        <w:trPr>
          <w:trHeight w:val="297"/>
        </w:trPr>
        <w:tc>
          <w:tcPr>
            <w:cnfStyle w:val="001000000000" w:firstRow="0" w:lastRow="0" w:firstColumn="1" w:lastColumn="0" w:oddVBand="0" w:evenVBand="0" w:oddHBand="0" w:evenHBand="0" w:firstRowFirstColumn="0" w:firstRowLastColumn="0" w:lastRowFirstColumn="0" w:lastRowLastColumn="0"/>
            <w:tcW w:w="5418" w:type="dxa"/>
            <w:hideMark/>
          </w:tcPr>
          <w:p w:rsidR="008B530A" w:rsidRPr="008B530A" w:rsidRDefault="008B530A" w:rsidP="008B530A">
            <w:pPr>
              <w:rPr>
                <w:rFonts w:ascii="Arial" w:eastAsia="Times New Roman" w:hAnsi="Arial" w:cs="Arial"/>
                <w:color w:val="auto"/>
                <w:sz w:val="16"/>
                <w:szCs w:val="16"/>
              </w:rPr>
            </w:pPr>
            <w:r w:rsidRPr="008B530A">
              <w:rPr>
                <w:rFonts w:ascii="Arial" w:eastAsia="Times New Roman" w:hAnsi="Arial" w:cs="Arial"/>
                <w:color w:val="auto"/>
                <w:sz w:val="16"/>
                <w:szCs w:val="16"/>
              </w:rPr>
              <w:t>Numbers of Total Borrowers</w:t>
            </w:r>
          </w:p>
        </w:tc>
        <w:tc>
          <w:tcPr>
            <w:tcW w:w="1350" w:type="dxa"/>
            <w:hideMark/>
          </w:tcPr>
          <w:p w:rsidR="008B530A" w:rsidRPr="008B530A" w:rsidRDefault="008B530A" w:rsidP="00D9417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 xml:space="preserve">                       16,784 </w:t>
            </w:r>
          </w:p>
        </w:tc>
        <w:tc>
          <w:tcPr>
            <w:tcW w:w="1350" w:type="dxa"/>
            <w:hideMark/>
          </w:tcPr>
          <w:p w:rsidR="008B530A" w:rsidRPr="008B530A" w:rsidRDefault="00D94171" w:rsidP="00D9417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rPr>
            </w:pPr>
            <w:r>
              <w:rPr>
                <w:rFonts w:ascii="Arial" w:eastAsia="Times New Roman" w:hAnsi="Arial" w:cs="Arial"/>
                <w:color w:val="auto"/>
                <w:sz w:val="16"/>
                <w:szCs w:val="16"/>
              </w:rPr>
              <w:t xml:space="preserve">                   </w:t>
            </w:r>
            <w:r w:rsidR="008B530A" w:rsidRPr="008B530A">
              <w:rPr>
                <w:rFonts w:ascii="Arial" w:eastAsia="Times New Roman" w:hAnsi="Arial" w:cs="Arial"/>
                <w:color w:val="auto"/>
                <w:sz w:val="16"/>
                <w:szCs w:val="16"/>
              </w:rPr>
              <w:t xml:space="preserve">19,700 </w:t>
            </w:r>
          </w:p>
        </w:tc>
        <w:tc>
          <w:tcPr>
            <w:tcW w:w="1440" w:type="dxa"/>
            <w:hideMark/>
          </w:tcPr>
          <w:p w:rsidR="008B530A" w:rsidRPr="008B530A" w:rsidRDefault="008B530A" w:rsidP="00D9417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 xml:space="preserve">                    26,491 </w:t>
            </w:r>
          </w:p>
        </w:tc>
      </w:tr>
      <w:tr w:rsidR="008B530A" w:rsidRPr="008B530A" w:rsidTr="00D941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18" w:type="dxa"/>
            <w:hideMark/>
          </w:tcPr>
          <w:p w:rsidR="008B530A" w:rsidRPr="008B530A" w:rsidRDefault="008B530A" w:rsidP="008B530A">
            <w:pPr>
              <w:rPr>
                <w:rFonts w:ascii="Arial" w:eastAsia="Times New Roman" w:hAnsi="Arial" w:cs="Arial"/>
                <w:color w:val="auto"/>
                <w:sz w:val="16"/>
                <w:szCs w:val="16"/>
              </w:rPr>
            </w:pPr>
            <w:r w:rsidRPr="008B530A">
              <w:rPr>
                <w:rFonts w:ascii="Arial" w:eastAsia="Times New Roman" w:hAnsi="Arial" w:cs="Arial"/>
                <w:color w:val="auto"/>
                <w:sz w:val="16"/>
                <w:szCs w:val="16"/>
              </w:rPr>
              <w:t>Market I.R /</w:t>
            </w:r>
            <w:r w:rsidR="00DF55F8" w:rsidRPr="008B530A">
              <w:rPr>
                <w:rFonts w:ascii="Arial" w:eastAsia="Times New Roman" w:hAnsi="Arial" w:cs="Arial"/>
                <w:color w:val="auto"/>
                <w:sz w:val="16"/>
                <w:szCs w:val="16"/>
              </w:rPr>
              <w:t>Ann</w:t>
            </w:r>
            <w:r w:rsidR="00DF55F8" w:rsidRPr="00D94171">
              <w:rPr>
                <w:rFonts w:ascii="Arial" w:eastAsia="Times New Roman" w:hAnsi="Arial" w:cs="Arial"/>
                <w:b w:val="0"/>
                <w:bCs w:val="0"/>
                <w:color w:val="auto"/>
                <w:sz w:val="16"/>
                <w:szCs w:val="16"/>
              </w:rPr>
              <w:t>ual</w:t>
            </w:r>
            <w:r w:rsidR="00DF55F8" w:rsidRPr="008B530A">
              <w:rPr>
                <w:rFonts w:ascii="Arial" w:eastAsia="Times New Roman" w:hAnsi="Arial" w:cs="Arial"/>
                <w:color w:val="auto"/>
                <w:sz w:val="16"/>
                <w:szCs w:val="16"/>
              </w:rPr>
              <w:t>,</w:t>
            </w:r>
            <w:r w:rsidRPr="008B530A">
              <w:rPr>
                <w:rFonts w:ascii="Arial" w:eastAsia="Times New Roman" w:hAnsi="Arial" w:cs="Arial"/>
                <w:color w:val="auto"/>
                <w:sz w:val="16"/>
                <w:szCs w:val="16"/>
              </w:rPr>
              <w:t xml:space="preserve"> %/</w:t>
            </w:r>
          </w:p>
        </w:tc>
        <w:tc>
          <w:tcPr>
            <w:tcW w:w="1350" w:type="dxa"/>
            <w:hideMark/>
          </w:tcPr>
          <w:p w:rsidR="008B530A" w:rsidRPr="008B530A" w:rsidRDefault="008B530A" w:rsidP="00D9417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17.73%</w:t>
            </w:r>
          </w:p>
        </w:tc>
        <w:tc>
          <w:tcPr>
            <w:tcW w:w="1350" w:type="dxa"/>
            <w:hideMark/>
          </w:tcPr>
          <w:p w:rsidR="008B530A" w:rsidRPr="008B530A" w:rsidRDefault="00D94171" w:rsidP="00D9417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rPr>
            </w:pPr>
            <w:r>
              <w:rPr>
                <w:rFonts w:ascii="Arial" w:eastAsia="Times New Roman" w:hAnsi="Arial" w:cs="Arial"/>
                <w:color w:val="auto"/>
                <w:sz w:val="16"/>
                <w:szCs w:val="16"/>
              </w:rPr>
              <w:t xml:space="preserve">  </w:t>
            </w:r>
            <w:r w:rsidR="008B530A" w:rsidRPr="008B530A">
              <w:rPr>
                <w:rFonts w:ascii="Arial" w:eastAsia="Times New Roman" w:hAnsi="Arial" w:cs="Arial"/>
                <w:color w:val="auto"/>
                <w:sz w:val="16"/>
                <w:szCs w:val="16"/>
              </w:rPr>
              <w:t>15.75%</w:t>
            </w:r>
          </w:p>
        </w:tc>
        <w:tc>
          <w:tcPr>
            <w:tcW w:w="1440" w:type="dxa"/>
            <w:hideMark/>
          </w:tcPr>
          <w:p w:rsidR="008B530A" w:rsidRPr="008B530A" w:rsidRDefault="008B530A" w:rsidP="00D9417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14.80%</w:t>
            </w:r>
          </w:p>
        </w:tc>
      </w:tr>
      <w:tr w:rsidR="008B530A" w:rsidRPr="008B530A" w:rsidTr="00D94171">
        <w:trPr>
          <w:trHeight w:val="315"/>
        </w:trPr>
        <w:tc>
          <w:tcPr>
            <w:cnfStyle w:val="001000000000" w:firstRow="0" w:lastRow="0" w:firstColumn="1" w:lastColumn="0" w:oddVBand="0" w:evenVBand="0" w:oddHBand="0" w:evenHBand="0" w:firstRowFirstColumn="0" w:firstRowLastColumn="0" w:lastRowFirstColumn="0" w:lastRowLastColumn="0"/>
            <w:tcW w:w="5418" w:type="dxa"/>
            <w:hideMark/>
          </w:tcPr>
          <w:p w:rsidR="008B530A" w:rsidRPr="008B530A" w:rsidRDefault="008B530A" w:rsidP="008B530A">
            <w:pPr>
              <w:rPr>
                <w:rFonts w:ascii="Arial" w:eastAsia="Times New Roman" w:hAnsi="Arial" w:cs="Arial"/>
                <w:color w:val="auto"/>
                <w:sz w:val="16"/>
                <w:szCs w:val="16"/>
              </w:rPr>
            </w:pPr>
            <w:r w:rsidRPr="008B530A">
              <w:rPr>
                <w:rFonts w:ascii="Arial" w:eastAsia="Times New Roman" w:hAnsi="Arial" w:cs="Arial"/>
                <w:color w:val="auto"/>
                <w:sz w:val="16"/>
                <w:szCs w:val="16"/>
              </w:rPr>
              <w:t xml:space="preserve"> Original W.A. LTV %</w:t>
            </w:r>
          </w:p>
        </w:tc>
        <w:tc>
          <w:tcPr>
            <w:tcW w:w="1350" w:type="dxa"/>
            <w:noWrap/>
            <w:hideMark/>
          </w:tcPr>
          <w:p w:rsidR="008B530A" w:rsidRPr="008B530A" w:rsidRDefault="008B530A" w:rsidP="00D9417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78.95%</w:t>
            </w:r>
          </w:p>
        </w:tc>
        <w:tc>
          <w:tcPr>
            <w:tcW w:w="1350" w:type="dxa"/>
            <w:noWrap/>
            <w:hideMark/>
          </w:tcPr>
          <w:p w:rsidR="008B530A" w:rsidRPr="008B530A" w:rsidRDefault="008B530A" w:rsidP="00D9417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77.30%</w:t>
            </w:r>
          </w:p>
        </w:tc>
        <w:tc>
          <w:tcPr>
            <w:tcW w:w="1440" w:type="dxa"/>
            <w:noWrap/>
            <w:hideMark/>
          </w:tcPr>
          <w:p w:rsidR="008B530A" w:rsidRPr="008B530A" w:rsidRDefault="00D94171" w:rsidP="00D9417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rPr>
            </w:pPr>
            <w:r>
              <w:rPr>
                <w:rFonts w:ascii="Arial" w:eastAsia="Times New Roman" w:hAnsi="Arial" w:cs="Arial"/>
                <w:color w:val="auto"/>
                <w:sz w:val="16"/>
                <w:szCs w:val="16"/>
              </w:rPr>
              <w:t xml:space="preserve"> </w:t>
            </w:r>
            <w:r w:rsidR="008B530A" w:rsidRPr="008B530A">
              <w:rPr>
                <w:rFonts w:ascii="Arial" w:eastAsia="Times New Roman" w:hAnsi="Arial" w:cs="Arial"/>
                <w:color w:val="auto"/>
                <w:sz w:val="16"/>
                <w:szCs w:val="16"/>
              </w:rPr>
              <w:t>56.28%</w:t>
            </w:r>
          </w:p>
        </w:tc>
      </w:tr>
    </w:tbl>
    <w:p w:rsidR="008F292F" w:rsidRDefault="008F292F" w:rsidP="008F5F8D">
      <w:pPr>
        <w:spacing w:line="240" w:lineRule="auto"/>
        <w:jc w:val="both"/>
        <w:rPr>
          <w:rFonts w:ascii="Arial Narrow" w:hAnsi="Arial Narrow" w:cs="Arial"/>
          <w:sz w:val="24"/>
          <w:szCs w:val="24"/>
          <w:lang w:bidi="bo-CN"/>
        </w:rPr>
      </w:pPr>
    </w:p>
    <w:p w:rsidR="008F5F8D" w:rsidRDefault="008F5F8D" w:rsidP="008F5F8D">
      <w:pPr>
        <w:spacing w:line="240" w:lineRule="auto"/>
        <w:jc w:val="both"/>
        <w:rPr>
          <w:rFonts w:ascii="Arial Narrow" w:hAnsi="Arial Narrow" w:cs="Arial"/>
          <w:sz w:val="24"/>
          <w:szCs w:val="24"/>
          <w:lang w:bidi="bo-CN"/>
        </w:rPr>
      </w:pPr>
      <w:r w:rsidRPr="00AC6FB1">
        <w:rPr>
          <w:rFonts w:ascii="Arial Narrow" w:hAnsi="Arial Narrow" w:cs="Arial"/>
          <w:sz w:val="24"/>
          <w:szCs w:val="24"/>
          <w:lang w:bidi="bo-CN"/>
        </w:rPr>
        <w:lastRenderedPageBreak/>
        <w:t>One of the mortgage market</w:t>
      </w:r>
      <w:r w:rsidR="008F292F">
        <w:rPr>
          <w:rFonts w:ascii="Arial Narrow" w:hAnsi="Arial Narrow" w:cs="Arial"/>
          <w:sz w:val="24"/>
          <w:szCs w:val="24"/>
          <w:lang w:bidi="bo-CN"/>
        </w:rPr>
        <w:t xml:space="preserve"> development</w:t>
      </w:r>
      <w:r w:rsidRPr="00AC6FB1">
        <w:rPr>
          <w:rFonts w:ascii="Arial Narrow" w:hAnsi="Arial Narrow" w:cs="Arial"/>
          <w:sz w:val="24"/>
          <w:szCs w:val="24"/>
          <w:lang w:bidi="bo-CN"/>
        </w:rPr>
        <w:t xml:space="preserve"> indicators would be mortgage market percentage in GDP 1.11% in 2005 has increased to 6 % in 2011. </w:t>
      </w:r>
    </w:p>
    <w:p w:rsidR="00060048" w:rsidRPr="00060048" w:rsidRDefault="00060048" w:rsidP="008F5F8D">
      <w:pPr>
        <w:spacing w:line="240" w:lineRule="auto"/>
        <w:jc w:val="both"/>
        <w:rPr>
          <w:rFonts w:ascii="Arial Narrow" w:hAnsi="Arial Narrow" w:cs="Arial"/>
          <w:sz w:val="24"/>
          <w:szCs w:val="24"/>
          <w:lang w:bidi="bo-CN"/>
        </w:rPr>
      </w:pPr>
      <w:r>
        <w:rPr>
          <w:rFonts w:ascii="Arial Narrow" w:hAnsi="Arial Narrow" w:cs="Arial"/>
          <w:bCs/>
          <w:color w:val="000000" w:themeColor="text1"/>
          <w:sz w:val="16"/>
          <w:szCs w:val="16"/>
        </w:rPr>
        <w:t>Table 3</w:t>
      </w:r>
      <w:r w:rsidRPr="00060048">
        <w:rPr>
          <w:rFonts w:ascii="Arial Narrow" w:hAnsi="Arial Narrow" w:cs="Arial"/>
          <w:bCs/>
          <w:color w:val="000000" w:themeColor="text1"/>
          <w:sz w:val="16"/>
          <w:szCs w:val="16"/>
        </w:rPr>
        <w:t xml:space="preserve">. </w:t>
      </w:r>
      <w:r>
        <w:rPr>
          <w:rFonts w:ascii="Arial Narrow" w:hAnsi="Arial Narrow" w:cs="Arial"/>
          <w:bCs/>
          <w:color w:val="000000" w:themeColor="text1"/>
          <w:sz w:val="16"/>
          <w:szCs w:val="16"/>
        </w:rPr>
        <w:t>Mortgage Market percentage of GDP</w:t>
      </w:r>
      <w:r w:rsidR="007C0B6B">
        <w:rPr>
          <w:rFonts w:ascii="Arial Narrow" w:hAnsi="Arial Narrow" w:cs="Arial"/>
          <w:bCs/>
          <w:color w:val="000000" w:themeColor="text1"/>
          <w:sz w:val="16"/>
          <w:szCs w:val="16"/>
        </w:rPr>
        <w:t>.</w:t>
      </w:r>
      <w:r w:rsidR="007C0B6B" w:rsidRPr="007C0B6B">
        <w:rPr>
          <w:rFonts w:ascii="Arial Narrow" w:hAnsi="Arial Narrow"/>
          <w:sz w:val="18"/>
          <w:szCs w:val="18"/>
        </w:rPr>
        <w:t xml:space="preserve"> </w:t>
      </w:r>
      <w:r w:rsidR="007C0B6B">
        <w:rPr>
          <w:rFonts w:ascii="Arial Narrow" w:hAnsi="Arial Narrow"/>
          <w:sz w:val="18"/>
          <w:szCs w:val="18"/>
        </w:rPr>
        <w:t xml:space="preserve">Source: </w:t>
      </w:r>
      <w:r w:rsidR="007C0B6B" w:rsidRPr="00C16CF3">
        <w:rPr>
          <w:rFonts w:ascii="Arial Narrow" w:hAnsi="Arial Narrow"/>
          <w:sz w:val="18"/>
          <w:szCs w:val="18"/>
        </w:rPr>
        <w:t>Bank of Mongolia and National Statistic Office of Mongolia</w:t>
      </w:r>
    </w:p>
    <w:tbl>
      <w:tblPr>
        <w:tblW w:w="9950" w:type="dxa"/>
        <w:tblInd w:w="-72" w:type="dxa"/>
        <w:tblLook w:val="04A0" w:firstRow="1" w:lastRow="0" w:firstColumn="1" w:lastColumn="0" w:noHBand="0" w:noVBand="1"/>
      </w:tblPr>
      <w:tblGrid>
        <w:gridCol w:w="1715"/>
        <w:gridCol w:w="1240"/>
        <w:gridCol w:w="1151"/>
        <w:gridCol w:w="1151"/>
        <w:gridCol w:w="1151"/>
        <w:gridCol w:w="1151"/>
        <w:gridCol w:w="1151"/>
        <w:gridCol w:w="1240"/>
      </w:tblGrid>
      <w:tr w:rsidR="008F5F8D" w:rsidRPr="00AC6FB1" w:rsidTr="008F5F8D">
        <w:trPr>
          <w:trHeight w:val="255"/>
        </w:trPr>
        <w:tc>
          <w:tcPr>
            <w:tcW w:w="17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u w:val="single"/>
              </w:rPr>
            </w:pPr>
          </w:p>
        </w:tc>
        <w:tc>
          <w:tcPr>
            <w:tcW w:w="1240" w:type="dxa"/>
            <w:tcBorders>
              <w:top w:val="single" w:sz="4" w:space="0" w:color="auto"/>
              <w:left w:val="nil"/>
              <w:bottom w:val="nil"/>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b/>
                <w:bCs/>
                <w:sz w:val="16"/>
                <w:szCs w:val="16"/>
              </w:rPr>
            </w:pPr>
            <w:r w:rsidRPr="00441C60">
              <w:rPr>
                <w:rFonts w:ascii="Arial Narrow" w:eastAsia="Times New Roman" w:hAnsi="Arial Narrow" w:cs="Arial"/>
                <w:b/>
                <w:bCs/>
                <w:sz w:val="16"/>
                <w:szCs w:val="16"/>
              </w:rPr>
              <w:t>2005</w:t>
            </w:r>
          </w:p>
        </w:tc>
        <w:tc>
          <w:tcPr>
            <w:tcW w:w="1151" w:type="dxa"/>
            <w:tcBorders>
              <w:top w:val="single" w:sz="4" w:space="0" w:color="auto"/>
              <w:left w:val="nil"/>
              <w:bottom w:val="nil"/>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b/>
                <w:bCs/>
                <w:sz w:val="16"/>
                <w:szCs w:val="16"/>
              </w:rPr>
            </w:pPr>
            <w:r w:rsidRPr="00441C60">
              <w:rPr>
                <w:rFonts w:ascii="Arial Narrow" w:eastAsia="Times New Roman" w:hAnsi="Arial Narrow" w:cs="Arial"/>
                <w:b/>
                <w:bCs/>
                <w:sz w:val="16"/>
                <w:szCs w:val="16"/>
              </w:rPr>
              <w:t>2006</w:t>
            </w:r>
          </w:p>
        </w:tc>
        <w:tc>
          <w:tcPr>
            <w:tcW w:w="1151" w:type="dxa"/>
            <w:tcBorders>
              <w:top w:val="single" w:sz="4" w:space="0" w:color="auto"/>
              <w:left w:val="nil"/>
              <w:bottom w:val="nil"/>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b/>
                <w:bCs/>
                <w:sz w:val="16"/>
                <w:szCs w:val="16"/>
              </w:rPr>
            </w:pPr>
            <w:r w:rsidRPr="00441C60">
              <w:rPr>
                <w:rFonts w:ascii="Arial Narrow" w:eastAsia="Times New Roman" w:hAnsi="Arial Narrow" w:cs="Arial"/>
                <w:b/>
                <w:bCs/>
                <w:sz w:val="16"/>
                <w:szCs w:val="16"/>
              </w:rPr>
              <w:t>2007</w:t>
            </w:r>
          </w:p>
        </w:tc>
        <w:tc>
          <w:tcPr>
            <w:tcW w:w="1151" w:type="dxa"/>
            <w:tcBorders>
              <w:top w:val="single" w:sz="4" w:space="0" w:color="auto"/>
              <w:left w:val="nil"/>
              <w:bottom w:val="nil"/>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b/>
                <w:bCs/>
                <w:sz w:val="16"/>
                <w:szCs w:val="16"/>
              </w:rPr>
            </w:pPr>
            <w:r w:rsidRPr="00441C60">
              <w:rPr>
                <w:rFonts w:ascii="Arial Narrow" w:eastAsia="Times New Roman" w:hAnsi="Arial Narrow" w:cs="Arial"/>
                <w:b/>
                <w:bCs/>
                <w:sz w:val="16"/>
                <w:szCs w:val="16"/>
              </w:rPr>
              <w:t>2008</w:t>
            </w:r>
          </w:p>
        </w:tc>
        <w:tc>
          <w:tcPr>
            <w:tcW w:w="1151" w:type="dxa"/>
            <w:tcBorders>
              <w:top w:val="single" w:sz="4" w:space="0" w:color="auto"/>
              <w:left w:val="nil"/>
              <w:bottom w:val="nil"/>
              <w:right w:val="nil"/>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b/>
                <w:bCs/>
                <w:sz w:val="16"/>
                <w:szCs w:val="16"/>
              </w:rPr>
            </w:pPr>
            <w:r w:rsidRPr="00441C60">
              <w:rPr>
                <w:rFonts w:ascii="Arial Narrow" w:eastAsia="Times New Roman" w:hAnsi="Arial Narrow" w:cs="Arial"/>
                <w:b/>
                <w:bCs/>
                <w:sz w:val="16"/>
                <w:szCs w:val="16"/>
              </w:rPr>
              <w:t>2009</w:t>
            </w:r>
          </w:p>
        </w:tc>
        <w:tc>
          <w:tcPr>
            <w:tcW w:w="1151" w:type="dxa"/>
            <w:tcBorders>
              <w:top w:val="single" w:sz="4" w:space="0" w:color="auto"/>
              <w:left w:val="single" w:sz="4" w:space="0" w:color="auto"/>
              <w:bottom w:val="nil"/>
              <w:right w:val="nil"/>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b/>
                <w:bCs/>
                <w:sz w:val="16"/>
                <w:szCs w:val="16"/>
              </w:rPr>
            </w:pPr>
            <w:r w:rsidRPr="00441C60">
              <w:rPr>
                <w:rFonts w:ascii="Arial Narrow" w:eastAsia="Times New Roman" w:hAnsi="Arial Narrow" w:cs="Arial"/>
                <w:b/>
                <w:bCs/>
                <w:sz w:val="16"/>
                <w:szCs w:val="16"/>
              </w:rPr>
              <w:t>2010</w:t>
            </w:r>
          </w:p>
        </w:tc>
        <w:tc>
          <w:tcPr>
            <w:tcW w:w="1240" w:type="dxa"/>
            <w:tcBorders>
              <w:top w:val="single" w:sz="4" w:space="0" w:color="auto"/>
              <w:left w:val="single" w:sz="4" w:space="0" w:color="auto"/>
              <w:bottom w:val="nil"/>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b/>
                <w:bCs/>
                <w:sz w:val="16"/>
                <w:szCs w:val="16"/>
              </w:rPr>
            </w:pPr>
            <w:r w:rsidRPr="00441C60">
              <w:rPr>
                <w:rFonts w:ascii="Arial Narrow" w:eastAsia="Times New Roman" w:hAnsi="Arial Narrow" w:cs="Arial"/>
                <w:b/>
                <w:bCs/>
                <w:sz w:val="16"/>
                <w:szCs w:val="16"/>
              </w:rPr>
              <w:t>2011</w:t>
            </w:r>
          </w:p>
        </w:tc>
      </w:tr>
      <w:tr w:rsidR="008F5F8D" w:rsidRPr="00AC6FB1" w:rsidTr="008F5F8D">
        <w:trPr>
          <w:trHeight w:val="255"/>
        </w:trPr>
        <w:tc>
          <w:tcPr>
            <w:tcW w:w="1715" w:type="dxa"/>
            <w:tcBorders>
              <w:top w:val="nil"/>
              <w:left w:val="single" w:sz="4" w:space="0" w:color="auto"/>
              <w:bottom w:val="nil"/>
              <w:right w:val="single" w:sz="4" w:space="0" w:color="auto"/>
            </w:tcBorders>
            <w:shd w:val="clear" w:color="000000" w:fill="FFFFFF"/>
            <w:noWrap/>
            <w:vAlign w:val="bottom"/>
            <w:hideMark/>
          </w:tcPr>
          <w:p w:rsidR="008F5F8D" w:rsidRPr="00441C60" w:rsidRDefault="008F5F8D" w:rsidP="008F5F8D">
            <w:pPr>
              <w:spacing w:after="0" w:line="240" w:lineRule="auto"/>
              <w:rPr>
                <w:rFonts w:ascii="Arial Narrow" w:eastAsia="Times New Roman" w:hAnsi="Arial Narrow" w:cs="Arial"/>
                <w:bCs/>
                <w:sz w:val="16"/>
                <w:szCs w:val="16"/>
              </w:rPr>
            </w:pPr>
            <w:r w:rsidRPr="00441C60">
              <w:rPr>
                <w:rFonts w:ascii="Arial Narrow" w:eastAsia="Times New Roman" w:hAnsi="Arial Narrow" w:cs="Arial"/>
                <w:bCs/>
                <w:sz w:val="16"/>
                <w:szCs w:val="16"/>
              </w:rPr>
              <w:t>GDP (MNT)</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2,779,578.26</w:t>
            </w:r>
          </w:p>
        </w:tc>
        <w:tc>
          <w:tcPr>
            <w:tcW w:w="1151" w:type="dxa"/>
            <w:tcBorders>
              <w:top w:val="single" w:sz="4" w:space="0" w:color="auto"/>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3,714,952.83</w:t>
            </w:r>
          </w:p>
        </w:tc>
        <w:tc>
          <w:tcPr>
            <w:tcW w:w="1151" w:type="dxa"/>
            <w:tcBorders>
              <w:top w:val="single" w:sz="4" w:space="0" w:color="auto"/>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4,557,500.00</w:t>
            </w:r>
          </w:p>
        </w:tc>
        <w:tc>
          <w:tcPr>
            <w:tcW w:w="1151" w:type="dxa"/>
            <w:tcBorders>
              <w:top w:val="single" w:sz="4" w:space="0" w:color="auto"/>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5,895,534.10</w:t>
            </w:r>
          </w:p>
        </w:tc>
        <w:tc>
          <w:tcPr>
            <w:tcW w:w="1151" w:type="dxa"/>
            <w:tcBorders>
              <w:top w:val="single" w:sz="4" w:space="0" w:color="auto"/>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6,055,800.00</w:t>
            </w:r>
          </w:p>
        </w:tc>
        <w:tc>
          <w:tcPr>
            <w:tcW w:w="1151" w:type="dxa"/>
            <w:tcBorders>
              <w:top w:val="single" w:sz="4" w:space="0" w:color="auto"/>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8,255,800.00</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10,829,689.60</w:t>
            </w:r>
          </w:p>
        </w:tc>
      </w:tr>
      <w:tr w:rsidR="008F5F8D" w:rsidRPr="00AC6FB1" w:rsidTr="008F5F8D">
        <w:trPr>
          <w:trHeight w:val="255"/>
        </w:trPr>
        <w:tc>
          <w:tcPr>
            <w:tcW w:w="1715" w:type="dxa"/>
            <w:tcBorders>
              <w:top w:val="nil"/>
              <w:left w:val="single" w:sz="4" w:space="0" w:color="auto"/>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rPr>
                <w:rFonts w:ascii="Arial Narrow" w:eastAsia="Times New Roman" w:hAnsi="Arial Narrow" w:cs="Arial"/>
                <w:bCs/>
                <w:sz w:val="16"/>
                <w:szCs w:val="16"/>
              </w:rPr>
            </w:pPr>
            <w:r w:rsidRPr="00441C60">
              <w:rPr>
                <w:rFonts w:ascii="Arial Narrow" w:eastAsia="Times New Roman" w:hAnsi="Arial Narrow" w:cs="Arial"/>
                <w:bCs/>
                <w:sz w:val="16"/>
                <w:szCs w:val="16"/>
              </w:rPr>
              <w:t>Systemic Loan Outstanding</w:t>
            </w:r>
          </w:p>
        </w:tc>
        <w:tc>
          <w:tcPr>
            <w:tcW w:w="1240"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1,334,083.09</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2,230,514.01</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2,056,060.84</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2,635,551.56</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2,632,031.13</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3,112,495.28</w:t>
            </w:r>
          </w:p>
        </w:tc>
        <w:tc>
          <w:tcPr>
            <w:tcW w:w="1240"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5,641,233.70</w:t>
            </w:r>
          </w:p>
        </w:tc>
      </w:tr>
      <w:tr w:rsidR="008F5F8D" w:rsidRPr="00AC6FB1" w:rsidTr="008F5F8D">
        <w:trPr>
          <w:trHeight w:val="255"/>
        </w:trPr>
        <w:tc>
          <w:tcPr>
            <w:tcW w:w="1715" w:type="dxa"/>
            <w:tcBorders>
              <w:top w:val="nil"/>
              <w:left w:val="single" w:sz="4" w:space="0" w:color="auto"/>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rPr>
                <w:rFonts w:ascii="Arial Narrow" w:eastAsia="Times New Roman" w:hAnsi="Arial Narrow" w:cs="Arial"/>
                <w:bCs/>
                <w:sz w:val="16"/>
                <w:szCs w:val="16"/>
              </w:rPr>
            </w:pPr>
            <w:r w:rsidRPr="00441C60">
              <w:rPr>
                <w:rFonts w:ascii="Arial Narrow" w:eastAsia="Times New Roman" w:hAnsi="Arial Narrow" w:cs="Arial"/>
                <w:bCs/>
                <w:sz w:val="16"/>
                <w:szCs w:val="16"/>
              </w:rPr>
              <w:t>W.A.I.R of Mortgage loan</w:t>
            </w:r>
          </w:p>
        </w:tc>
        <w:tc>
          <w:tcPr>
            <w:tcW w:w="1240"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14.73%</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17.83%</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15.96%</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18.71%</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17.73%</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15.75%</w:t>
            </w:r>
          </w:p>
        </w:tc>
        <w:tc>
          <w:tcPr>
            <w:tcW w:w="1240"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14.80%</w:t>
            </w:r>
          </w:p>
        </w:tc>
      </w:tr>
      <w:tr w:rsidR="008F5F8D" w:rsidRPr="00AC6FB1" w:rsidTr="008F5F8D">
        <w:trPr>
          <w:trHeight w:val="255"/>
        </w:trPr>
        <w:tc>
          <w:tcPr>
            <w:tcW w:w="1715" w:type="dxa"/>
            <w:tcBorders>
              <w:top w:val="nil"/>
              <w:left w:val="single" w:sz="4" w:space="0" w:color="auto"/>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rPr>
                <w:rFonts w:ascii="Arial Narrow" w:eastAsia="Times New Roman" w:hAnsi="Arial Narrow" w:cs="Arial"/>
                <w:bCs/>
                <w:sz w:val="16"/>
                <w:szCs w:val="16"/>
              </w:rPr>
            </w:pPr>
            <w:r w:rsidRPr="00441C60">
              <w:rPr>
                <w:rFonts w:ascii="Arial Narrow" w:eastAsia="Times New Roman" w:hAnsi="Arial Narrow" w:cs="Arial"/>
                <w:bCs/>
                <w:sz w:val="16"/>
                <w:szCs w:val="16"/>
              </w:rPr>
              <w:t>Numbers of total borrowers</w:t>
            </w:r>
          </w:p>
        </w:tc>
        <w:tc>
          <w:tcPr>
            <w:tcW w:w="1240"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4,774.00</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8,984.00</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16,444.00</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16,522.00</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16,784.00</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19,700.00</w:t>
            </w:r>
          </w:p>
        </w:tc>
        <w:tc>
          <w:tcPr>
            <w:tcW w:w="1240"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26,491.00</w:t>
            </w:r>
          </w:p>
        </w:tc>
      </w:tr>
      <w:tr w:rsidR="008F5F8D" w:rsidRPr="00AC6FB1" w:rsidTr="008F5F8D">
        <w:trPr>
          <w:trHeight w:val="450"/>
        </w:trPr>
        <w:tc>
          <w:tcPr>
            <w:tcW w:w="1715" w:type="dxa"/>
            <w:tcBorders>
              <w:top w:val="nil"/>
              <w:left w:val="single" w:sz="4" w:space="0" w:color="auto"/>
              <w:bottom w:val="single" w:sz="4" w:space="0" w:color="auto"/>
              <w:right w:val="single" w:sz="4" w:space="0" w:color="auto"/>
            </w:tcBorders>
            <w:shd w:val="clear" w:color="000000" w:fill="FFFFFF"/>
            <w:vAlign w:val="bottom"/>
            <w:hideMark/>
          </w:tcPr>
          <w:p w:rsidR="008F5F8D" w:rsidRPr="00441C60" w:rsidRDefault="008F5F8D" w:rsidP="008F5F8D">
            <w:pPr>
              <w:spacing w:after="0" w:line="240" w:lineRule="auto"/>
              <w:rPr>
                <w:rFonts w:ascii="Arial Narrow" w:eastAsia="Times New Roman" w:hAnsi="Arial Narrow" w:cs="Arial"/>
                <w:bCs/>
                <w:sz w:val="16"/>
                <w:szCs w:val="16"/>
              </w:rPr>
            </w:pPr>
            <w:r w:rsidRPr="00441C60">
              <w:rPr>
                <w:rFonts w:ascii="Arial Narrow" w:eastAsia="Times New Roman" w:hAnsi="Arial Narrow" w:cs="Arial"/>
                <w:bCs/>
                <w:sz w:val="16"/>
                <w:szCs w:val="16"/>
              </w:rPr>
              <w:t>Mortgage Loan outstanding in mln MNT</w:t>
            </w:r>
          </w:p>
        </w:tc>
        <w:tc>
          <w:tcPr>
            <w:tcW w:w="1240"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30,839.72</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61,874.29</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164,625.90</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217,977.46</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226,040.64</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333,776.60</w:t>
            </w:r>
          </w:p>
        </w:tc>
        <w:tc>
          <w:tcPr>
            <w:tcW w:w="1240"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656,491.07</w:t>
            </w:r>
          </w:p>
        </w:tc>
      </w:tr>
      <w:tr w:rsidR="008F5F8D" w:rsidRPr="00AC6FB1" w:rsidTr="008F5F8D">
        <w:trPr>
          <w:trHeight w:val="450"/>
        </w:trPr>
        <w:tc>
          <w:tcPr>
            <w:tcW w:w="1715" w:type="dxa"/>
            <w:tcBorders>
              <w:top w:val="nil"/>
              <w:left w:val="single" w:sz="4" w:space="0" w:color="auto"/>
              <w:bottom w:val="single" w:sz="4" w:space="0" w:color="auto"/>
              <w:right w:val="single" w:sz="4" w:space="0" w:color="auto"/>
            </w:tcBorders>
            <w:shd w:val="clear" w:color="000000" w:fill="FFFFFF"/>
            <w:vAlign w:val="bottom"/>
            <w:hideMark/>
          </w:tcPr>
          <w:p w:rsidR="008F5F8D" w:rsidRPr="00441C60" w:rsidRDefault="008F5F8D" w:rsidP="008F5F8D">
            <w:pPr>
              <w:spacing w:after="0" w:line="240" w:lineRule="auto"/>
              <w:rPr>
                <w:rFonts w:ascii="Arial Narrow" w:eastAsia="Times New Roman" w:hAnsi="Arial Narrow" w:cs="Arial"/>
                <w:bCs/>
                <w:sz w:val="16"/>
                <w:szCs w:val="16"/>
              </w:rPr>
            </w:pPr>
            <w:r w:rsidRPr="00441C60">
              <w:rPr>
                <w:rFonts w:ascii="Arial Narrow" w:eastAsia="Times New Roman" w:hAnsi="Arial Narrow" w:cs="Arial"/>
                <w:bCs/>
                <w:sz w:val="16"/>
                <w:szCs w:val="16"/>
              </w:rPr>
              <w:t>Mortgage Market Percentage of GDP, %</w:t>
            </w:r>
          </w:p>
        </w:tc>
        <w:tc>
          <w:tcPr>
            <w:tcW w:w="1240"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1.11%</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1.67%</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3.61%</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3.70%</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3.73%</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4.04%</w:t>
            </w:r>
          </w:p>
        </w:tc>
        <w:tc>
          <w:tcPr>
            <w:tcW w:w="1240"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6.06%</w:t>
            </w:r>
          </w:p>
        </w:tc>
      </w:tr>
    </w:tbl>
    <w:p w:rsidR="00060048" w:rsidRDefault="00060048" w:rsidP="00060048">
      <w:pPr>
        <w:spacing w:line="240" w:lineRule="auto"/>
        <w:jc w:val="both"/>
        <w:rPr>
          <w:rFonts w:ascii="Arial Narrow" w:hAnsi="Arial Narrow" w:cs="Arial"/>
          <w:bCs/>
          <w:color w:val="000000" w:themeColor="text1"/>
          <w:sz w:val="16"/>
          <w:szCs w:val="16"/>
        </w:rPr>
      </w:pPr>
    </w:p>
    <w:p w:rsidR="00BC7AB6" w:rsidRPr="00060048" w:rsidRDefault="00060048" w:rsidP="00060048">
      <w:pPr>
        <w:spacing w:line="240" w:lineRule="auto"/>
        <w:jc w:val="both"/>
        <w:rPr>
          <w:rFonts w:ascii="Arial Narrow" w:hAnsi="Arial Narrow" w:cs="Arial"/>
          <w:sz w:val="24"/>
          <w:szCs w:val="24"/>
          <w:lang w:bidi="bo-CN"/>
        </w:rPr>
      </w:pPr>
      <w:r>
        <w:rPr>
          <w:rFonts w:ascii="Arial Narrow" w:hAnsi="Arial Narrow" w:cs="Arial"/>
          <w:bCs/>
          <w:color w:val="000000" w:themeColor="text1"/>
          <w:sz w:val="16"/>
          <w:szCs w:val="16"/>
        </w:rPr>
        <w:t>Graphic 1</w:t>
      </w:r>
      <w:r w:rsidRPr="00060048">
        <w:rPr>
          <w:rFonts w:ascii="Arial Narrow" w:hAnsi="Arial Narrow" w:cs="Arial"/>
          <w:bCs/>
          <w:color w:val="000000" w:themeColor="text1"/>
          <w:sz w:val="16"/>
          <w:szCs w:val="16"/>
        </w:rPr>
        <w:t xml:space="preserve">. </w:t>
      </w:r>
      <w:r>
        <w:rPr>
          <w:rFonts w:ascii="Arial Narrow" w:hAnsi="Arial Narrow" w:cs="Arial"/>
          <w:bCs/>
          <w:color w:val="000000" w:themeColor="text1"/>
          <w:sz w:val="16"/>
          <w:szCs w:val="16"/>
        </w:rPr>
        <w:t>Mortgage Market percentage of GDP</w:t>
      </w:r>
      <w:r w:rsidR="007C0B6B">
        <w:rPr>
          <w:rFonts w:ascii="Arial Narrow" w:hAnsi="Arial Narrow" w:cs="Arial"/>
          <w:bCs/>
          <w:color w:val="000000" w:themeColor="text1"/>
          <w:sz w:val="16"/>
          <w:szCs w:val="16"/>
        </w:rPr>
        <w:t>.</w:t>
      </w:r>
      <w:r>
        <w:rPr>
          <w:rFonts w:ascii="Arial Narrow" w:hAnsi="Arial Narrow" w:cs="Arial"/>
          <w:bCs/>
          <w:color w:val="000000" w:themeColor="text1"/>
          <w:sz w:val="16"/>
          <w:szCs w:val="16"/>
        </w:rPr>
        <w:t xml:space="preserve"> </w:t>
      </w:r>
      <w:r w:rsidR="007C0B6B">
        <w:rPr>
          <w:rFonts w:ascii="Arial Narrow" w:hAnsi="Arial Narrow"/>
          <w:sz w:val="18"/>
          <w:szCs w:val="18"/>
        </w:rPr>
        <w:t xml:space="preserve">Source: </w:t>
      </w:r>
      <w:r w:rsidR="007C0B6B" w:rsidRPr="00C16CF3">
        <w:rPr>
          <w:rFonts w:ascii="Arial Narrow" w:hAnsi="Arial Narrow"/>
          <w:sz w:val="18"/>
          <w:szCs w:val="18"/>
        </w:rPr>
        <w:t>Bank of Mongolia and National Statistic Office of Mongolia</w:t>
      </w:r>
    </w:p>
    <w:p w:rsidR="007455CD" w:rsidRDefault="00DF55F8" w:rsidP="000F174A">
      <w:pPr>
        <w:spacing w:line="240" w:lineRule="auto"/>
        <w:rPr>
          <w:rFonts w:ascii="Arial Narrow" w:hAnsi="Arial Narrow" w:cs="Arial"/>
          <w:sz w:val="16"/>
          <w:szCs w:val="16"/>
          <w:lang w:bidi="bo-CN"/>
        </w:rPr>
      </w:pPr>
      <w:r w:rsidRPr="00DF55F8">
        <w:rPr>
          <w:rFonts w:ascii="Arial Narrow" w:hAnsi="Arial Narrow" w:cs="Arial"/>
          <w:noProof/>
          <w:sz w:val="16"/>
          <w:szCs w:val="16"/>
        </w:rPr>
        <w:drawing>
          <wp:inline distT="0" distB="0" distL="0" distR="0">
            <wp:extent cx="5943600" cy="2600325"/>
            <wp:effectExtent l="19050" t="0" r="19050"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C7AB6" w:rsidRPr="00AC6FB1">
        <w:rPr>
          <w:rFonts w:ascii="Arial Narrow" w:hAnsi="Arial Narrow" w:cs="Arial"/>
          <w:sz w:val="16"/>
          <w:szCs w:val="16"/>
          <w:lang w:bidi="bo-CN"/>
        </w:rPr>
        <w:t xml:space="preserve">           </w:t>
      </w:r>
    </w:p>
    <w:p w:rsidR="00DF55F8" w:rsidRPr="00DF55F8" w:rsidRDefault="00DF55F8" w:rsidP="00DF55F8">
      <w:pPr>
        <w:spacing w:line="240" w:lineRule="auto"/>
        <w:jc w:val="both"/>
        <w:rPr>
          <w:rFonts w:ascii="Arial Narrow" w:hAnsi="Arial Narrow" w:cs="Arial"/>
          <w:sz w:val="24"/>
          <w:szCs w:val="24"/>
          <w:lang w:bidi="bo-CN"/>
        </w:rPr>
      </w:pPr>
      <w:r>
        <w:rPr>
          <w:rFonts w:ascii="Arial Narrow" w:hAnsi="Arial Narrow" w:cs="Arial"/>
          <w:bCs/>
          <w:color w:val="000000" w:themeColor="text1"/>
          <w:sz w:val="16"/>
          <w:szCs w:val="16"/>
        </w:rPr>
        <w:t>Graphic 2</w:t>
      </w:r>
      <w:r w:rsidRPr="00060048">
        <w:rPr>
          <w:rFonts w:ascii="Arial Narrow" w:hAnsi="Arial Narrow" w:cs="Arial"/>
          <w:bCs/>
          <w:color w:val="000000" w:themeColor="text1"/>
          <w:sz w:val="16"/>
          <w:szCs w:val="16"/>
        </w:rPr>
        <w:t xml:space="preserve">. </w:t>
      </w:r>
      <w:r>
        <w:rPr>
          <w:rFonts w:ascii="Arial Narrow" w:hAnsi="Arial Narrow" w:cs="Arial"/>
          <w:bCs/>
          <w:color w:val="000000" w:themeColor="text1"/>
          <w:sz w:val="16"/>
          <w:szCs w:val="16"/>
        </w:rPr>
        <w:t>Mortgage Market as a percentage</w:t>
      </w:r>
      <w:r w:rsidR="007C0B6B">
        <w:rPr>
          <w:rFonts w:ascii="Arial Narrow" w:hAnsi="Arial Narrow" w:cs="Arial"/>
          <w:bCs/>
          <w:color w:val="000000" w:themeColor="text1"/>
          <w:sz w:val="16"/>
          <w:szCs w:val="16"/>
        </w:rPr>
        <w:t>.</w:t>
      </w:r>
      <w:r>
        <w:rPr>
          <w:rFonts w:ascii="Arial Narrow" w:hAnsi="Arial Narrow" w:cs="Arial"/>
          <w:bCs/>
          <w:color w:val="000000" w:themeColor="text1"/>
          <w:sz w:val="16"/>
          <w:szCs w:val="16"/>
        </w:rPr>
        <w:t xml:space="preserve"> </w:t>
      </w:r>
      <w:r w:rsidR="007C0B6B" w:rsidRPr="00596A3D">
        <w:rPr>
          <w:rFonts w:ascii="Arial Narrow" w:hAnsi="Arial Narrow"/>
          <w:i/>
          <w:sz w:val="18"/>
          <w:szCs w:val="18"/>
        </w:rPr>
        <w:t>Source: Bank of Mongolia and National Statistic Office of Mongolia</w:t>
      </w:r>
    </w:p>
    <w:p w:rsidR="007455CD" w:rsidRPr="00AC6FB1" w:rsidRDefault="00DF55F8" w:rsidP="000F174A">
      <w:pPr>
        <w:spacing w:line="240" w:lineRule="auto"/>
        <w:rPr>
          <w:rFonts w:ascii="Arial Narrow" w:hAnsi="Arial Narrow" w:cs="Arial"/>
          <w:sz w:val="16"/>
          <w:szCs w:val="16"/>
          <w:lang w:bidi="bo-CN"/>
        </w:rPr>
      </w:pPr>
      <w:r w:rsidRPr="00DF55F8">
        <w:rPr>
          <w:rFonts w:ascii="Arial Narrow" w:hAnsi="Arial Narrow" w:cs="Arial"/>
          <w:noProof/>
          <w:sz w:val="16"/>
          <w:szCs w:val="16"/>
        </w:rPr>
        <w:drawing>
          <wp:anchor distT="0" distB="0" distL="114300" distR="114300" simplePos="0" relativeHeight="251658240" behindDoc="0" locked="0" layoutInCell="1" allowOverlap="1">
            <wp:simplePos x="0" y="0"/>
            <wp:positionH relativeFrom="column">
              <wp:posOffset>990600</wp:posOffset>
            </wp:positionH>
            <wp:positionV relativeFrom="paragraph">
              <wp:posOffset>544195</wp:posOffset>
            </wp:positionV>
            <wp:extent cx="1552575" cy="733425"/>
            <wp:effectExtent l="19050" t="0" r="0" b="0"/>
            <wp:wrapNone/>
            <wp:docPr id="11"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52627" cy="928687"/>
                      <a:chOff x="0" y="0"/>
                      <a:chExt cx="1952627" cy="928687"/>
                    </a:xfrm>
                  </a:grpSpPr>
                  <a:sp>
                    <a:nvSpPr>
                      <a:cNvPr id="4" name="TextBox 3"/>
                      <a:cNvSpPr txBox="1"/>
                    </a:nvSpPr>
                    <a:spPr>
                      <a:xfrm>
                        <a:off x="0" y="0"/>
                        <a:ext cx="1952627" cy="928687"/>
                      </a:xfrm>
                      <a:prstGeom prst="rect">
                        <a:avLst/>
                      </a:prstGeom>
                      <a:solidFill>
                        <a:schemeClr val="accent2">
                          <a:lumMod val="60000"/>
                          <a:lumOff val="40000"/>
                        </a:schemeClr>
                      </a:solidFill>
                      <a:ln w="9525" cmpd="sng">
                        <a:solidFill>
                          <a:schemeClr val="lt1">
                            <a:shade val="50000"/>
                          </a:schemeClr>
                        </a:solid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r>
                            <a:rPr lang="en-US" sz="1500" b="1">
                              <a:latin typeface="Arial Narrow" pitchFamily="34" charset="0"/>
                            </a:rPr>
                            <a:t>     </a:t>
                          </a:r>
                          <a:r>
                            <a:rPr lang="en-US" sz="1200" b="1">
                              <a:latin typeface="Arial Narrow" pitchFamily="34" charset="0"/>
                            </a:rPr>
                            <a:t>2005</a:t>
                          </a:r>
                          <a:r>
                            <a:rPr lang="en-US" sz="1500" b="1">
                              <a:latin typeface="Arial Narrow" pitchFamily="34" charset="0"/>
                            </a:rPr>
                            <a:t>              </a:t>
                          </a:r>
                          <a:r>
                            <a:rPr lang="en-US" sz="1200" b="1">
                              <a:solidFill>
                                <a:schemeClr val="dk1"/>
                              </a:solidFill>
                              <a:latin typeface="Arial Narrow" pitchFamily="34" charset="0"/>
                              <a:ea typeface="+mn-ea"/>
                              <a:cs typeface="+mn-cs"/>
                            </a:rPr>
                            <a:t>2011</a:t>
                          </a:r>
                          <a:endParaRPr lang="en-US" sz="1200" b="1">
                            <a:latin typeface="Arial Narrow" pitchFamily="34" charset="0"/>
                          </a:endParaRPr>
                        </a:p>
                        <a:p>
                          <a:r>
                            <a:rPr lang="en-US" sz="1500" b="1">
                              <a:latin typeface="Arial Narrow" pitchFamily="34" charset="0"/>
                            </a:rPr>
                            <a:t>    </a:t>
                          </a:r>
                          <a:r>
                            <a:rPr lang="en-US" sz="1600" b="1">
                              <a:solidFill>
                                <a:schemeClr val="bg1"/>
                              </a:solidFill>
                              <a:latin typeface="Arial Narrow" pitchFamily="34" charset="0"/>
                            </a:rPr>
                            <a:t>2.31%</a:t>
                          </a:r>
                          <a:r>
                            <a:rPr lang="en-US" sz="1500" b="1">
                              <a:latin typeface="Arial Narrow" pitchFamily="34" charset="0"/>
                            </a:rPr>
                            <a:t>         </a:t>
                          </a:r>
                          <a:r>
                            <a:rPr lang="en-US" sz="1600" b="1">
                              <a:solidFill>
                                <a:schemeClr val="bg1"/>
                              </a:solidFill>
                              <a:latin typeface="Arial Narrow" pitchFamily="34" charset="0"/>
                            </a:rPr>
                            <a:t>11.64%</a:t>
                          </a:r>
                        </a:p>
                        <a:p>
                          <a:r>
                            <a:rPr lang="en-US" sz="1200" b="0">
                              <a:latin typeface="Arial Narrow" pitchFamily="34" charset="0"/>
                            </a:rPr>
                            <a:t>Mortgage</a:t>
                          </a:r>
                          <a:r>
                            <a:rPr lang="en-US" sz="1200" b="0" baseline="0">
                              <a:latin typeface="Arial Narrow" pitchFamily="34" charset="0"/>
                            </a:rPr>
                            <a:t> market share of Systemic Loan market (%)</a:t>
                          </a:r>
                          <a:endParaRPr lang="en-US" sz="1200" b="0">
                            <a:latin typeface="Arial Narrow" pitchFamily="34" charset="0"/>
                          </a:endParaRPr>
                        </a:p>
                      </a:txBody>
                      <a:useSpRect/>
                    </a:txSp>
                    <a:style>
                      <a:lnRef idx="0">
                        <a:scrgbClr r="0" g="0" b="0"/>
                      </a:lnRef>
                      <a:fillRef idx="0">
                        <a:scrgbClr r="0" g="0" b="0"/>
                      </a:fillRef>
                      <a:effectRef idx="0">
                        <a:scrgbClr r="0" g="0" b="0"/>
                      </a:effectRef>
                      <a:fontRef idx="minor">
                        <a:schemeClr val="dk1"/>
                      </a:fontRef>
                    </a:style>
                  </a:sp>
                  <a:sp>
                    <a:nvSpPr>
                      <a:cNvPr id="5" name="Right Arrow 4"/>
                      <a:cNvSpPr/>
                    </a:nvSpPr>
                    <a:spPr>
                      <a:xfrm>
                        <a:off x="881066" y="214312"/>
                        <a:ext cx="190499" cy="321468"/>
                      </a:xfrm>
                      <a:prstGeom prst="rightArrow">
                        <a:avLst/>
                      </a:prstGeom>
                      <a:solidFill>
                        <a:schemeClr val="tx2">
                          <a:lumMod val="60000"/>
                          <a:lumOff val="40000"/>
                        </a:schemeClr>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sidR="007455CD" w:rsidRPr="007455CD">
        <w:rPr>
          <w:rFonts w:ascii="Arial Narrow" w:hAnsi="Arial Narrow" w:cs="Arial"/>
          <w:noProof/>
          <w:sz w:val="16"/>
          <w:szCs w:val="16"/>
        </w:rPr>
        <w:drawing>
          <wp:inline distT="0" distB="0" distL="0" distR="0">
            <wp:extent cx="5943600" cy="2818765"/>
            <wp:effectExtent l="19050" t="0" r="19050" b="635"/>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8691E" w:rsidRPr="00AC6FB1" w:rsidRDefault="008F292F" w:rsidP="00A80014">
      <w:pPr>
        <w:spacing w:before="100" w:beforeAutospacing="1" w:after="100" w:afterAutospacing="1" w:line="240" w:lineRule="auto"/>
        <w:jc w:val="both"/>
        <w:rPr>
          <w:rFonts w:ascii="Arial Narrow" w:eastAsia="Times New Roman" w:hAnsi="Arial Narrow" w:cs="Arial"/>
          <w:sz w:val="24"/>
          <w:szCs w:val="24"/>
        </w:rPr>
      </w:pPr>
      <w:r>
        <w:rPr>
          <w:rFonts w:ascii="Arial Narrow" w:eastAsia="Times New Roman" w:hAnsi="Arial Narrow" w:cs="Arial"/>
          <w:sz w:val="24"/>
          <w:szCs w:val="24"/>
        </w:rPr>
        <w:lastRenderedPageBreak/>
        <w:t>Even though the mortgage lending is significantly increase in each year the d</w:t>
      </w:r>
      <w:r w:rsidR="0008691E" w:rsidRPr="00AC6FB1">
        <w:rPr>
          <w:rFonts w:ascii="Arial Narrow" w:eastAsia="Times New Roman" w:hAnsi="Arial Narrow" w:cs="Arial"/>
          <w:sz w:val="24"/>
          <w:szCs w:val="24"/>
        </w:rPr>
        <w:t>emand for housing s</w:t>
      </w:r>
      <w:r>
        <w:rPr>
          <w:rFonts w:ascii="Arial Narrow" w:eastAsia="Times New Roman" w:hAnsi="Arial Narrow" w:cs="Arial"/>
          <w:sz w:val="24"/>
          <w:szCs w:val="24"/>
        </w:rPr>
        <w:t>till very much on the increase. T</w:t>
      </w:r>
      <w:r w:rsidR="0008691E" w:rsidRPr="00AC6FB1">
        <w:rPr>
          <w:rFonts w:ascii="Arial Narrow" w:eastAsia="Times New Roman" w:hAnsi="Arial Narrow" w:cs="Arial"/>
          <w:sz w:val="24"/>
          <w:szCs w:val="24"/>
        </w:rPr>
        <w:t xml:space="preserve">he young </w:t>
      </w:r>
      <w:r w:rsidR="00A411B3">
        <w:rPr>
          <w:rFonts w:ascii="Arial Narrow" w:eastAsia="Times New Roman" w:hAnsi="Arial Narrow" w:cs="Arial"/>
          <w:sz w:val="24"/>
          <w:szCs w:val="24"/>
        </w:rPr>
        <w:t>generation</w:t>
      </w:r>
      <w:r w:rsidR="0008691E" w:rsidRPr="00AC6FB1">
        <w:rPr>
          <w:rFonts w:ascii="Arial Narrow" w:eastAsia="Times New Roman" w:hAnsi="Arial Narrow" w:cs="Arial"/>
          <w:sz w:val="24"/>
          <w:szCs w:val="24"/>
        </w:rPr>
        <w:t xml:space="preserve"> </w:t>
      </w:r>
      <w:r w:rsidR="00A411B3">
        <w:rPr>
          <w:rFonts w:ascii="Arial Narrow" w:eastAsia="Times New Roman" w:hAnsi="Arial Narrow" w:cs="Arial"/>
          <w:sz w:val="24"/>
          <w:szCs w:val="24"/>
        </w:rPr>
        <w:t>between</w:t>
      </w:r>
      <w:r w:rsidR="00A411B3" w:rsidRPr="00AC6FB1">
        <w:rPr>
          <w:rFonts w:ascii="Arial Narrow" w:eastAsia="Times New Roman" w:hAnsi="Arial Narrow" w:cs="Arial"/>
          <w:sz w:val="24"/>
          <w:szCs w:val="24"/>
        </w:rPr>
        <w:t xml:space="preserve"> </w:t>
      </w:r>
      <w:r w:rsidR="0008691E" w:rsidRPr="00AC6FB1">
        <w:rPr>
          <w:rFonts w:ascii="Arial Narrow" w:eastAsia="Times New Roman" w:hAnsi="Arial Narrow" w:cs="Arial"/>
          <w:sz w:val="24"/>
          <w:szCs w:val="24"/>
        </w:rPr>
        <w:t xml:space="preserve">25-35 year old </w:t>
      </w:r>
      <w:r w:rsidR="00A411B3">
        <w:rPr>
          <w:rFonts w:ascii="Arial Narrow" w:eastAsia="Times New Roman" w:hAnsi="Arial Narrow" w:cs="Arial"/>
          <w:sz w:val="24"/>
          <w:szCs w:val="24"/>
        </w:rPr>
        <w:t xml:space="preserve">people </w:t>
      </w:r>
      <w:r w:rsidR="0008691E" w:rsidRPr="00AC6FB1">
        <w:rPr>
          <w:rFonts w:ascii="Arial Narrow" w:eastAsia="Times New Roman" w:hAnsi="Arial Narrow" w:cs="Arial"/>
          <w:sz w:val="24"/>
          <w:szCs w:val="24"/>
        </w:rPr>
        <w:t>of Mongolia is increasingly financially able to afford an investment in residential property and is keen to move away from their current multigenerational units into more contemporary and spacious housing. The boom in the mining supply chain and the service industry are leading to stronger than ever demand level in housing sector.</w:t>
      </w:r>
      <w:r w:rsidR="00AE0EC0" w:rsidRPr="00AC6FB1">
        <w:rPr>
          <w:rFonts w:ascii="Arial Narrow" w:eastAsia="Times New Roman" w:hAnsi="Arial Narrow" w:cs="Arial"/>
          <w:sz w:val="24"/>
          <w:szCs w:val="24"/>
        </w:rPr>
        <w:t xml:space="preserve"> On the other hand</w:t>
      </w:r>
      <w:r w:rsidR="0008691E" w:rsidRPr="00AC6FB1">
        <w:rPr>
          <w:rFonts w:ascii="Arial Narrow" w:eastAsia="Times New Roman" w:hAnsi="Arial Narrow" w:cs="Arial"/>
          <w:sz w:val="24"/>
          <w:szCs w:val="24"/>
        </w:rPr>
        <w:t xml:space="preserve"> </w:t>
      </w:r>
      <w:r w:rsidR="00AE0EC0" w:rsidRPr="00AC6FB1">
        <w:rPr>
          <w:rFonts w:ascii="Arial Narrow" w:hAnsi="Arial Narrow" w:cs="Arial"/>
          <w:sz w:val="24"/>
          <w:szCs w:val="24"/>
        </w:rPr>
        <w:t xml:space="preserve">housing supply intensively expanded allowing the segment of creditworthy population to receive mortgage loans. </w:t>
      </w:r>
    </w:p>
    <w:p w:rsidR="003931ED" w:rsidRPr="00AC6FB1" w:rsidRDefault="008F292F" w:rsidP="000F174A">
      <w:pPr>
        <w:spacing w:line="240" w:lineRule="auto"/>
        <w:jc w:val="both"/>
        <w:rPr>
          <w:rFonts w:ascii="Arial Narrow" w:hAnsi="Arial Narrow" w:cs="Arial"/>
          <w:sz w:val="24"/>
          <w:szCs w:val="24"/>
          <w:lang w:bidi="bo-CN"/>
        </w:rPr>
      </w:pPr>
      <w:r>
        <w:rPr>
          <w:rFonts w:ascii="Arial Narrow" w:hAnsi="Arial Narrow" w:cs="Arial"/>
          <w:sz w:val="24"/>
          <w:szCs w:val="24"/>
          <w:lang w:bidi="bo-CN"/>
        </w:rPr>
        <w:t>Much</w:t>
      </w:r>
      <w:r w:rsidR="000F4E14" w:rsidRPr="00AC6FB1">
        <w:rPr>
          <w:rFonts w:ascii="Arial Narrow" w:hAnsi="Arial Narrow" w:cs="Arial"/>
          <w:sz w:val="24"/>
          <w:szCs w:val="24"/>
          <w:lang w:bidi="bo-CN"/>
        </w:rPr>
        <w:t xml:space="preserve"> low income population </w:t>
      </w:r>
      <w:r>
        <w:rPr>
          <w:rFonts w:ascii="Arial Narrow" w:hAnsi="Arial Narrow" w:cs="Arial"/>
          <w:sz w:val="24"/>
          <w:szCs w:val="24"/>
          <w:lang w:bidi="bo-CN"/>
        </w:rPr>
        <w:t xml:space="preserve">is </w:t>
      </w:r>
      <w:r w:rsidR="000F4E14" w:rsidRPr="00AC6FB1">
        <w:rPr>
          <w:rFonts w:ascii="Arial Narrow" w:hAnsi="Arial Narrow" w:cs="Arial"/>
          <w:sz w:val="24"/>
          <w:szCs w:val="24"/>
          <w:lang w:bidi="bo-CN"/>
        </w:rPr>
        <w:t xml:space="preserve">still lack access to financing for house purchases. </w:t>
      </w:r>
      <w:r>
        <w:rPr>
          <w:rFonts w:ascii="Arial Narrow" w:hAnsi="Arial Narrow" w:cs="Arial"/>
          <w:sz w:val="24"/>
          <w:szCs w:val="24"/>
          <w:lang w:bidi="bo-CN"/>
        </w:rPr>
        <w:t xml:space="preserve">Most of them could not even afford the down payment requirement. </w:t>
      </w:r>
      <w:r w:rsidR="000F4E14" w:rsidRPr="00AC6FB1">
        <w:rPr>
          <w:rFonts w:ascii="Arial Narrow" w:hAnsi="Arial Narrow" w:cs="Arial"/>
          <w:sz w:val="24"/>
          <w:szCs w:val="24"/>
          <w:lang w:bidi="bo-CN"/>
        </w:rPr>
        <w:t xml:space="preserve">With the increase in price of construction materials being imported from abroad resulting </w:t>
      </w:r>
      <w:r w:rsidR="005022C6" w:rsidRPr="00AC6FB1">
        <w:rPr>
          <w:rFonts w:ascii="Arial Narrow" w:hAnsi="Arial Narrow" w:cs="Arial"/>
          <w:sz w:val="24"/>
          <w:szCs w:val="24"/>
          <w:lang w:bidi="bo-CN"/>
        </w:rPr>
        <w:t>r</w:t>
      </w:r>
      <w:r w:rsidR="000F4E14" w:rsidRPr="00AC6FB1">
        <w:rPr>
          <w:rFonts w:ascii="Arial Narrow" w:hAnsi="Arial Narrow" w:cs="Arial"/>
          <w:sz w:val="24"/>
          <w:szCs w:val="24"/>
          <w:lang w:bidi="bo-CN"/>
        </w:rPr>
        <w:t>ising price of construction</w:t>
      </w:r>
      <w:r w:rsidR="00566502" w:rsidRPr="00AC6FB1">
        <w:rPr>
          <w:rFonts w:ascii="Arial Narrow" w:hAnsi="Arial Narrow" w:cs="Arial"/>
          <w:sz w:val="24"/>
          <w:szCs w:val="24"/>
          <w:lang w:bidi="bo-CN"/>
        </w:rPr>
        <w:t xml:space="preserve"> </w:t>
      </w:r>
      <w:r w:rsidR="000F4E14" w:rsidRPr="00AC6FB1">
        <w:rPr>
          <w:rFonts w:ascii="Arial Narrow" w:hAnsi="Arial Narrow" w:cs="Arial"/>
          <w:sz w:val="24"/>
          <w:szCs w:val="24"/>
          <w:lang w:bidi="bo-CN"/>
        </w:rPr>
        <w:t xml:space="preserve">many of households still living in the houses and ger’s where there is no proper source of power and heating. </w:t>
      </w:r>
      <w:r w:rsidR="00380844" w:rsidRPr="00AC6FB1">
        <w:rPr>
          <w:rFonts w:ascii="Arial Narrow" w:hAnsi="Arial Narrow" w:cs="Arial"/>
          <w:sz w:val="24"/>
          <w:szCs w:val="24"/>
          <w:lang w:bidi="bo-CN"/>
        </w:rPr>
        <w:t xml:space="preserve">As many Mongolians who seek for higher paid jobs and greater possibilities have relocated from other parts of the country to Ulaanbaatar city. Most of these households </w:t>
      </w:r>
      <w:r w:rsidR="00083D04" w:rsidRPr="00AC6FB1">
        <w:rPr>
          <w:rFonts w:ascii="Arial Narrow" w:hAnsi="Arial Narrow" w:cs="Arial"/>
          <w:sz w:val="24"/>
          <w:szCs w:val="24"/>
          <w:lang w:bidi="bo-CN"/>
        </w:rPr>
        <w:t>who are low income and live in the sprawling tents cities of the northern districts spread across the surrounding hills</w:t>
      </w:r>
      <w:r>
        <w:rPr>
          <w:rFonts w:ascii="Arial Narrow" w:hAnsi="Arial Narrow" w:cs="Arial"/>
          <w:sz w:val="24"/>
          <w:szCs w:val="24"/>
          <w:lang w:bidi="bo-CN"/>
        </w:rPr>
        <w:t xml:space="preserve"> in Ulaanbaatar city</w:t>
      </w:r>
      <w:r w:rsidR="00083D04" w:rsidRPr="00AC6FB1">
        <w:rPr>
          <w:rFonts w:ascii="Arial Narrow" w:hAnsi="Arial Narrow" w:cs="Arial"/>
          <w:sz w:val="24"/>
          <w:szCs w:val="24"/>
          <w:lang w:bidi="bo-CN"/>
        </w:rPr>
        <w:t>. Due to the lack of infrastructure for proper h</w:t>
      </w:r>
      <w:r>
        <w:rPr>
          <w:rFonts w:ascii="Arial Narrow" w:hAnsi="Arial Narrow" w:cs="Arial"/>
          <w:sz w:val="24"/>
          <w:szCs w:val="24"/>
          <w:lang w:bidi="bo-CN"/>
        </w:rPr>
        <w:t>ousing the people who live in ger districts heat their houses and ger using coal</w:t>
      </w:r>
      <w:r w:rsidR="00083D04" w:rsidRPr="00AC6FB1">
        <w:rPr>
          <w:rFonts w:ascii="Arial Narrow" w:hAnsi="Arial Narrow" w:cs="Arial"/>
          <w:sz w:val="24"/>
          <w:szCs w:val="24"/>
          <w:lang w:bidi="bo-CN"/>
        </w:rPr>
        <w:t xml:space="preserve"> or </w:t>
      </w:r>
      <w:r w:rsidR="00AC6FB1" w:rsidRPr="00AC6FB1">
        <w:rPr>
          <w:rFonts w:ascii="Arial Narrow" w:hAnsi="Arial Narrow" w:cs="Arial"/>
          <w:sz w:val="24"/>
          <w:szCs w:val="24"/>
          <w:lang w:bidi="bo-CN"/>
        </w:rPr>
        <w:t>lignite burnt</w:t>
      </w:r>
      <w:r w:rsidR="00083D04" w:rsidRPr="00AC6FB1">
        <w:rPr>
          <w:rFonts w:ascii="Arial Narrow" w:hAnsi="Arial Narrow" w:cs="Arial"/>
          <w:sz w:val="24"/>
          <w:szCs w:val="24"/>
          <w:lang w:bidi="bo-CN"/>
        </w:rPr>
        <w:t xml:space="preserve"> in iron stove. The smog caused by coal burning ger district has made the Ulaanbaatar city the second most polluted city in the world during the winter season. Tackling these environmental and social problems caused by the ger districts has long priority for the government.  </w:t>
      </w:r>
    </w:p>
    <w:p w:rsidR="00F42ED0" w:rsidRPr="00AC6FB1" w:rsidRDefault="008F292F" w:rsidP="000F174A">
      <w:pPr>
        <w:spacing w:line="240" w:lineRule="auto"/>
        <w:jc w:val="both"/>
        <w:rPr>
          <w:rFonts w:ascii="Arial Narrow" w:hAnsi="Arial Narrow" w:cs="Arial"/>
          <w:sz w:val="24"/>
          <w:szCs w:val="24"/>
          <w:lang w:bidi="bo-CN"/>
        </w:rPr>
      </w:pPr>
      <w:r>
        <w:rPr>
          <w:rFonts w:ascii="Arial Narrow" w:hAnsi="Arial Narrow" w:cs="Arial"/>
          <w:sz w:val="24"/>
          <w:szCs w:val="24"/>
          <w:lang w:bidi="bo-CN"/>
        </w:rPr>
        <w:t xml:space="preserve">In order to increase the affordability and supply for proper housing government has initiated several acts. One of these activities is that the </w:t>
      </w:r>
      <w:r w:rsidR="00A80014" w:rsidRPr="00AC6FB1">
        <w:rPr>
          <w:rFonts w:ascii="Arial Narrow" w:hAnsi="Arial Narrow" w:cs="Arial"/>
          <w:sz w:val="24"/>
          <w:szCs w:val="24"/>
          <w:lang w:bidi="bo-CN"/>
        </w:rPr>
        <w:t>Government has approved 40,000</w:t>
      </w:r>
      <w:r w:rsidR="00F42ED0" w:rsidRPr="00AC6FB1">
        <w:rPr>
          <w:rFonts w:ascii="Arial Narrow" w:hAnsi="Arial Narrow" w:cs="Arial"/>
          <w:sz w:val="24"/>
          <w:szCs w:val="24"/>
          <w:lang w:bidi="bo-CN"/>
        </w:rPr>
        <w:t xml:space="preserve"> Houses Program project</w:t>
      </w:r>
      <w:r w:rsidR="005022C6" w:rsidRPr="00AC6FB1">
        <w:rPr>
          <w:rFonts w:ascii="Arial Narrow" w:hAnsi="Arial Narrow" w:cs="Arial"/>
          <w:sz w:val="24"/>
          <w:szCs w:val="24"/>
          <w:lang w:bidi="bo-CN"/>
        </w:rPr>
        <w:t xml:space="preserve"> </w:t>
      </w:r>
      <w:r w:rsidR="00A80014" w:rsidRPr="00AC6FB1">
        <w:rPr>
          <w:rFonts w:ascii="Arial Narrow" w:hAnsi="Arial Narrow" w:cs="Arial"/>
          <w:sz w:val="24"/>
          <w:szCs w:val="24"/>
          <w:lang w:bidi="bo-CN"/>
        </w:rPr>
        <w:t xml:space="preserve">on 27 June 2005 </w:t>
      </w:r>
      <w:r w:rsidR="00F75531" w:rsidRPr="00AC6FB1">
        <w:rPr>
          <w:rFonts w:ascii="Arial Narrow" w:hAnsi="Arial Narrow" w:cs="Arial"/>
          <w:sz w:val="24"/>
          <w:szCs w:val="24"/>
          <w:lang w:bidi="bo-CN"/>
        </w:rPr>
        <w:t xml:space="preserve">to increase the total national supply and finance for </w:t>
      </w:r>
      <w:r w:rsidR="00A22F27" w:rsidRPr="00AC6FB1">
        <w:rPr>
          <w:rFonts w:ascii="Arial Narrow" w:hAnsi="Arial Narrow" w:cs="Arial"/>
          <w:sz w:val="24"/>
          <w:szCs w:val="24"/>
          <w:lang w:bidi="bo-CN"/>
        </w:rPr>
        <w:t>housing.</w:t>
      </w:r>
      <w:r w:rsidR="00D74F8E" w:rsidRPr="00AC6FB1">
        <w:rPr>
          <w:rFonts w:ascii="Arial Narrow" w:hAnsi="Arial Narrow" w:cs="Arial"/>
          <w:sz w:val="24"/>
          <w:szCs w:val="24"/>
          <w:lang w:bidi="bo-CN"/>
        </w:rPr>
        <w:t xml:space="preserve"> In order to implement Government’s</w:t>
      </w:r>
      <w:r w:rsidR="00D74F8E" w:rsidRPr="00AC6FB1">
        <w:rPr>
          <w:rFonts w:ascii="Arial Narrow" w:hAnsi="Arial Narrow" w:cs="Arial"/>
          <w:sz w:val="24"/>
          <w:szCs w:val="24"/>
        </w:rPr>
        <w:t xml:space="preserve"> policy and programs for provision of housing as well as undertake mortgage lending and investment</w:t>
      </w:r>
      <w:r w:rsidR="00D74F8E" w:rsidRPr="00AC6FB1">
        <w:rPr>
          <w:rFonts w:ascii="Arial Narrow" w:hAnsi="Arial Narrow" w:cs="Arial"/>
          <w:sz w:val="24"/>
          <w:szCs w:val="24"/>
          <w:lang w:bidi="bo-CN"/>
        </w:rPr>
        <w:t xml:space="preserve"> </w:t>
      </w:r>
      <w:r w:rsidR="00A22F27" w:rsidRPr="00AC6FB1">
        <w:rPr>
          <w:rFonts w:ascii="Arial Narrow" w:hAnsi="Arial Narrow" w:cs="Arial"/>
          <w:sz w:val="24"/>
          <w:szCs w:val="24"/>
        </w:rPr>
        <w:t>Ministry of Road, Transportation, Construction and Urban Development /MRTCUD/ former Ministry of Construction and Urban Development/MCUD/</w:t>
      </w:r>
      <w:r w:rsidR="00D74F8E" w:rsidRPr="00AC6FB1">
        <w:rPr>
          <w:rFonts w:ascii="Arial Narrow" w:hAnsi="Arial Narrow" w:cs="Arial"/>
          <w:sz w:val="24"/>
          <w:szCs w:val="24"/>
        </w:rPr>
        <w:t xml:space="preserve"> has established Housing Finance Corporation</w:t>
      </w:r>
      <w:r w:rsidR="005F5627" w:rsidRPr="00AC6FB1">
        <w:rPr>
          <w:rFonts w:ascii="Arial Narrow" w:hAnsi="Arial Narrow" w:cs="Arial"/>
          <w:sz w:val="24"/>
          <w:szCs w:val="24"/>
        </w:rPr>
        <w:t xml:space="preserve"> dated November 2006 jointly</w:t>
      </w:r>
      <w:r w:rsidR="00D74F8E" w:rsidRPr="00AC6FB1">
        <w:rPr>
          <w:rFonts w:ascii="Arial Narrow" w:hAnsi="Arial Narrow" w:cs="Arial"/>
          <w:sz w:val="24"/>
          <w:szCs w:val="24"/>
        </w:rPr>
        <w:t xml:space="preserve"> with Ministry of Finance /MoF/ and the Mayor of Ulaanbaatar City. </w:t>
      </w:r>
    </w:p>
    <w:p w:rsidR="00566502" w:rsidRPr="00AC6FB1" w:rsidRDefault="00566502" w:rsidP="000F174A">
      <w:pPr>
        <w:autoSpaceDE w:val="0"/>
        <w:autoSpaceDN w:val="0"/>
        <w:adjustRightInd w:val="0"/>
        <w:spacing w:line="240" w:lineRule="auto"/>
        <w:jc w:val="both"/>
        <w:rPr>
          <w:rFonts w:ascii="Arial Narrow" w:hAnsi="Arial Narrow" w:cs="Arial"/>
          <w:sz w:val="24"/>
          <w:szCs w:val="24"/>
          <w:lang w:bidi="bo-CN"/>
        </w:rPr>
      </w:pPr>
      <w:r w:rsidRPr="00AC6FB1">
        <w:rPr>
          <w:rFonts w:ascii="Arial Narrow" w:hAnsi="Arial Narrow" w:cs="Arial"/>
          <w:sz w:val="24"/>
          <w:szCs w:val="24"/>
          <w:lang w:bidi="bo-CN"/>
        </w:rPr>
        <w:t xml:space="preserve">The five major strategic objectives of the program are to establish new townships for housing units, to improve density of housing units in Ulaanbaatar and other urban centers and settlements, to develop the ger district, facilitate development of housing and real estate market relations and to support construction material production industry and capacity building of human resources. Later the program was extended to 100,000 houses program. </w:t>
      </w:r>
      <w:r w:rsidR="00083D04" w:rsidRPr="00AC6FB1">
        <w:rPr>
          <w:rFonts w:ascii="Arial Narrow" w:hAnsi="Arial Narrow" w:cs="Arial"/>
          <w:sz w:val="24"/>
          <w:szCs w:val="24"/>
          <w:lang w:bidi="bo-CN"/>
        </w:rPr>
        <w:t xml:space="preserve">This program is expected to have a major impact on substantial percentage of ger district. </w:t>
      </w:r>
      <w:r w:rsidR="007F43D2" w:rsidRPr="00AC6FB1">
        <w:rPr>
          <w:rFonts w:ascii="Arial Narrow" w:hAnsi="Arial Narrow" w:cs="Arial"/>
          <w:sz w:val="24"/>
          <w:szCs w:val="24"/>
          <w:lang w:bidi="bo-CN"/>
        </w:rPr>
        <w:t xml:space="preserve">But the project will also require substantial amount of supporting infrastructure, including roads and bridges and water, canalization projects. </w:t>
      </w:r>
    </w:p>
    <w:p w:rsidR="00483D4D" w:rsidRPr="00AC6FB1" w:rsidRDefault="009603C2" w:rsidP="000F174A">
      <w:pPr>
        <w:spacing w:before="100" w:beforeAutospacing="1" w:after="100" w:afterAutospacing="1" w:line="240" w:lineRule="auto"/>
        <w:jc w:val="both"/>
        <w:rPr>
          <w:rFonts w:ascii="Arial Narrow" w:eastAsia="Times New Roman" w:hAnsi="Arial Narrow" w:cs="Arial"/>
          <w:sz w:val="24"/>
          <w:szCs w:val="24"/>
        </w:rPr>
      </w:pPr>
      <w:r>
        <w:rPr>
          <w:rFonts w:ascii="Arial Narrow" w:hAnsi="Arial Narrow" w:cs="Arial"/>
          <w:sz w:val="24"/>
          <w:szCs w:val="24"/>
          <w:lang w:bidi="bo-CN"/>
        </w:rPr>
        <w:t>Also the g</w:t>
      </w:r>
      <w:r w:rsidR="00483D4D" w:rsidRPr="00AC6FB1">
        <w:rPr>
          <w:rFonts w:ascii="Arial Narrow" w:hAnsi="Arial Narrow" w:cs="Arial"/>
          <w:sz w:val="24"/>
          <w:szCs w:val="24"/>
          <w:lang w:bidi="bo-CN"/>
        </w:rPr>
        <w:t xml:space="preserve">overnment resolution </w:t>
      </w:r>
      <w:r w:rsidR="00483D4D" w:rsidRPr="00AC6FB1">
        <w:rPr>
          <w:rFonts w:ascii="Arial Narrow" w:eastAsia="Times New Roman" w:hAnsi="Arial Narrow" w:cs="Arial"/>
          <w:sz w:val="24"/>
          <w:szCs w:val="24"/>
        </w:rPr>
        <w:t xml:space="preserve">No. 15 of February 10, 2011 approved Development Bank of Mongolia /DBM / long term financing of infrastructure and industrial projects such as New Development medium term target program, state policy on railroad transportation. DBM will also fund government housing programs by issuing government bonds. </w:t>
      </w:r>
    </w:p>
    <w:p w:rsidR="00483D4D" w:rsidRPr="00AC6FB1" w:rsidRDefault="0085477B" w:rsidP="000F174A">
      <w:pPr>
        <w:spacing w:line="240" w:lineRule="auto"/>
        <w:jc w:val="both"/>
        <w:rPr>
          <w:rFonts w:ascii="Arial Narrow" w:hAnsi="Arial Narrow" w:cs="Arial"/>
          <w:sz w:val="24"/>
          <w:szCs w:val="24"/>
        </w:rPr>
      </w:pPr>
      <w:r>
        <w:rPr>
          <w:rFonts w:ascii="Arial Narrow" w:hAnsi="Arial Narrow" w:cs="Arial"/>
          <w:sz w:val="24"/>
          <w:szCs w:val="24"/>
        </w:rPr>
        <w:t>W</w:t>
      </w:r>
      <w:r w:rsidR="00483D4D" w:rsidRPr="00AC6FB1">
        <w:rPr>
          <w:rFonts w:ascii="Arial Narrow" w:hAnsi="Arial Narrow" w:cs="Arial"/>
          <w:sz w:val="24"/>
          <w:szCs w:val="24"/>
        </w:rPr>
        <w:t xml:space="preserve">hen the housing supply is expanded and the growing demand for housing, it is important to create a favorable legal regulatory environment allowing the creation of new resources for housing loans by issuing securities backed by the mortgage loan receivables. This will make possible to refinance new mortgage loans and provide new sources fund for banks for new housing loans.     </w:t>
      </w:r>
    </w:p>
    <w:p w:rsidR="00483D4D" w:rsidRPr="00AC6FB1" w:rsidRDefault="00BB57CC" w:rsidP="005D11EF">
      <w:pPr>
        <w:spacing w:after="0" w:line="240" w:lineRule="auto"/>
        <w:jc w:val="both"/>
        <w:rPr>
          <w:rFonts w:ascii="Arial Narrow" w:hAnsi="Arial Narrow" w:cs="Arial"/>
          <w:sz w:val="24"/>
          <w:szCs w:val="24"/>
        </w:rPr>
      </w:pPr>
      <w:r>
        <w:rPr>
          <w:rFonts w:ascii="Arial Narrow" w:hAnsi="Arial Narrow" w:cs="Arial"/>
          <w:sz w:val="24"/>
          <w:szCs w:val="24"/>
        </w:rPr>
        <w:t>In 14</w:t>
      </w:r>
      <w:r>
        <w:rPr>
          <w:rFonts w:ascii="Arial Narrow" w:hAnsi="Arial Narrow" w:cs="Arial"/>
          <w:sz w:val="24"/>
          <w:szCs w:val="24"/>
          <w:vertAlign w:val="superscript"/>
        </w:rPr>
        <w:t xml:space="preserve">th </w:t>
      </w:r>
      <w:r>
        <w:rPr>
          <w:rFonts w:ascii="Arial Narrow" w:hAnsi="Arial Narrow" w:cs="Arial"/>
          <w:sz w:val="24"/>
          <w:szCs w:val="24"/>
        </w:rPr>
        <w:t>May 2003 Mongolian government resolution #116 has approved to develop mortgage backed securities market in Mongolia</w:t>
      </w:r>
      <w:r w:rsidR="00483D4D" w:rsidRPr="00AC6FB1">
        <w:rPr>
          <w:rFonts w:ascii="Arial Narrow" w:hAnsi="Arial Narrow" w:cs="Arial"/>
          <w:sz w:val="24"/>
          <w:szCs w:val="24"/>
        </w:rPr>
        <w:t>.</w:t>
      </w:r>
      <w:r w:rsidR="006A5C00">
        <w:rPr>
          <w:rFonts w:ascii="Arial Narrow" w:hAnsi="Arial Narrow" w:cs="Arial"/>
          <w:sz w:val="24"/>
          <w:szCs w:val="24"/>
        </w:rPr>
        <w:t xml:space="preserve"> By approving so </w:t>
      </w:r>
      <w:r w:rsidR="00B05998">
        <w:rPr>
          <w:rFonts w:ascii="Arial Narrow" w:hAnsi="Arial Narrow" w:cs="Arial"/>
          <w:sz w:val="24"/>
          <w:szCs w:val="24"/>
        </w:rPr>
        <w:t xml:space="preserve">Mongolian government enabled creation of self financing policy without government funding. </w:t>
      </w:r>
      <w:r w:rsidR="00483D4D" w:rsidRPr="00AC6FB1">
        <w:rPr>
          <w:rFonts w:ascii="Arial Narrow" w:hAnsi="Arial Narrow" w:cs="Arial"/>
          <w:sz w:val="24"/>
          <w:szCs w:val="24"/>
        </w:rPr>
        <w:t xml:space="preserve">Consequently 14th July 2009 Government has approved “Mortgage Law” </w:t>
      </w:r>
      <w:r w:rsidR="00483D4D" w:rsidRPr="00AC6FB1">
        <w:rPr>
          <w:rFonts w:ascii="Arial Narrow" w:hAnsi="Arial Narrow" w:cs="Arial"/>
          <w:sz w:val="24"/>
          <w:szCs w:val="24"/>
        </w:rPr>
        <w:lastRenderedPageBreak/>
        <w:t xml:space="preserve">followed by the </w:t>
      </w:r>
      <w:r w:rsidR="00316FC6">
        <w:rPr>
          <w:rFonts w:ascii="Arial Narrow" w:hAnsi="Arial Narrow" w:cs="Arial"/>
          <w:sz w:val="24"/>
          <w:szCs w:val="24"/>
        </w:rPr>
        <w:t>Asset Backed Security /</w:t>
      </w:r>
      <w:r w:rsidR="00483D4D" w:rsidRPr="00AC6FB1">
        <w:rPr>
          <w:rFonts w:ascii="Arial Narrow" w:hAnsi="Arial Narrow" w:cs="Arial"/>
          <w:sz w:val="24"/>
          <w:szCs w:val="24"/>
        </w:rPr>
        <w:t>ABS</w:t>
      </w:r>
      <w:r w:rsidR="00316FC6">
        <w:rPr>
          <w:rFonts w:ascii="Arial Narrow" w:hAnsi="Arial Narrow" w:cs="Arial"/>
          <w:sz w:val="24"/>
          <w:szCs w:val="24"/>
        </w:rPr>
        <w:t>/</w:t>
      </w:r>
      <w:r w:rsidR="00483D4D" w:rsidRPr="00AC6FB1">
        <w:rPr>
          <w:rFonts w:ascii="Arial Narrow" w:hAnsi="Arial Narrow" w:cs="Arial"/>
          <w:sz w:val="24"/>
          <w:szCs w:val="24"/>
        </w:rPr>
        <w:t xml:space="preserve"> law approved on 23th Apr 2011 legally enabled primary and secondary market development. </w:t>
      </w:r>
    </w:p>
    <w:p w:rsidR="00483D4D" w:rsidRPr="0085477B" w:rsidRDefault="005D11EF" w:rsidP="000F174A">
      <w:pPr>
        <w:spacing w:before="100" w:beforeAutospacing="1" w:after="100" w:afterAutospacing="1" w:line="240" w:lineRule="auto"/>
        <w:jc w:val="both"/>
        <w:rPr>
          <w:rFonts w:ascii="Arial Narrow" w:eastAsia="Times New Roman" w:hAnsi="Arial Narrow" w:cs="Arial"/>
          <w:sz w:val="24"/>
          <w:szCs w:val="24"/>
        </w:rPr>
      </w:pPr>
      <w:r w:rsidRPr="005D11EF">
        <w:rPr>
          <w:rFonts w:ascii="Arial Narrow" w:hAnsi="Arial Narrow" w:cs="Arial"/>
          <w:sz w:val="24"/>
          <w:szCs w:val="24"/>
        </w:rPr>
        <w:t xml:space="preserve">The development of the secondary mortgage market through the establishment of </w:t>
      </w:r>
      <w:r w:rsidR="00483D4D" w:rsidRPr="005D11EF">
        <w:rPr>
          <w:rFonts w:ascii="Arial Narrow" w:eastAsia="Times New Roman" w:hAnsi="Arial Narrow" w:cs="Arial"/>
          <w:sz w:val="24"/>
          <w:szCs w:val="24"/>
        </w:rPr>
        <w:t>the “Mongolian Mortgage Corporation” /MIK/ has emerged with the initiative of USAID- EPRC project. In 2006 Bank of Mongolia /BoM/ and ten commercial banks have established private</w:t>
      </w:r>
      <w:r w:rsidR="00483D4D" w:rsidRPr="00AC6FB1">
        <w:rPr>
          <w:rFonts w:ascii="Arial Narrow" w:eastAsia="Times New Roman" w:hAnsi="Arial Narrow" w:cs="Arial"/>
          <w:sz w:val="24"/>
          <w:szCs w:val="24"/>
        </w:rPr>
        <w:t xml:space="preserve"> sector controlled secondary tier mortgage institution. The MIK main goal is to </w:t>
      </w:r>
      <w:r w:rsidR="00483D4D" w:rsidRPr="00AC6FB1">
        <w:rPr>
          <w:rFonts w:ascii="Arial Narrow" w:hAnsi="Arial Narrow" w:cs="Arial"/>
          <w:sz w:val="24"/>
          <w:szCs w:val="24"/>
        </w:rPr>
        <w:t>develop primary and secondary markets by issuing and selling Mortgage-backed securities on domestic and foreign capital markets and to create and ensure a smooth functioning of a long-term financing system to improve access to housing and promote in the future modern urban development.</w:t>
      </w:r>
    </w:p>
    <w:p w:rsidR="00102156" w:rsidRDefault="00C569C1" w:rsidP="00D94171">
      <w:pPr>
        <w:spacing w:before="100" w:beforeAutospacing="1" w:after="100" w:afterAutospacing="1" w:line="240" w:lineRule="auto"/>
        <w:jc w:val="both"/>
        <w:rPr>
          <w:rFonts w:ascii="Arial Narrow" w:hAnsi="Arial Narrow"/>
          <w:sz w:val="24"/>
          <w:szCs w:val="24"/>
          <w:lang w:bidi="bo-CN"/>
        </w:rPr>
      </w:pPr>
      <w:r w:rsidRPr="00C569C1">
        <w:rPr>
          <w:rFonts w:ascii="Arial Narrow" w:hAnsi="Arial Narrow"/>
          <w:sz w:val="24"/>
          <w:szCs w:val="24"/>
          <w:lang w:bidi="bo-CN"/>
        </w:rPr>
        <w:t>Creation of the first commercially operated, private sector controlled secondary mortgage market institution enabled boarding and deepening the financial market.</w:t>
      </w:r>
      <w:r w:rsidR="00102156" w:rsidRPr="00102156">
        <w:rPr>
          <w:rFonts w:ascii="Arial Narrow" w:hAnsi="Arial Narrow"/>
          <w:sz w:val="24"/>
          <w:szCs w:val="24"/>
          <w:lang w:bidi="bo-CN"/>
        </w:rPr>
        <w:t xml:space="preserve"> Well functioning secondary market will need </w:t>
      </w:r>
      <w:r w:rsidR="00102156" w:rsidRPr="00102156">
        <w:rPr>
          <w:rFonts w:ascii="Arial Narrow" w:hAnsi="Arial Narrow" w:cs="Arial"/>
          <w:sz w:val="24"/>
          <w:szCs w:val="24"/>
        </w:rPr>
        <w:t>supportive legal and regulatory framework, sizable and standardized primary mortgage markets, and well-developed bond markets.</w:t>
      </w:r>
    </w:p>
    <w:p w:rsidR="00316FC6" w:rsidRPr="00C569C1" w:rsidRDefault="00C569C1" w:rsidP="00D94171">
      <w:pPr>
        <w:spacing w:before="100" w:beforeAutospacing="1" w:after="100" w:afterAutospacing="1" w:line="240" w:lineRule="auto"/>
        <w:jc w:val="both"/>
        <w:rPr>
          <w:rFonts w:ascii="Arial Narrow" w:hAnsi="Arial Narrow"/>
          <w:sz w:val="24"/>
          <w:szCs w:val="24"/>
          <w:lang w:bidi="bo-CN"/>
        </w:rPr>
      </w:pPr>
      <w:r>
        <w:rPr>
          <w:rFonts w:ascii="Arial Narrow" w:hAnsi="Arial Narrow"/>
          <w:sz w:val="24"/>
          <w:szCs w:val="24"/>
          <w:lang w:bidi="bo-CN"/>
        </w:rPr>
        <w:t>MIK has become the liquidity provider to the financial institutions which had</w:t>
      </w:r>
      <w:r w:rsidR="00712BAA" w:rsidRPr="00C569C1">
        <w:rPr>
          <w:rFonts w:ascii="Arial Narrow" w:hAnsi="Arial Narrow"/>
          <w:sz w:val="24"/>
          <w:szCs w:val="24"/>
          <w:lang w:bidi="bo-CN"/>
        </w:rPr>
        <w:t xml:space="preserve"> </w:t>
      </w:r>
      <w:r>
        <w:rPr>
          <w:rFonts w:ascii="Arial Narrow" w:hAnsi="Arial Narrow"/>
          <w:sz w:val="24"/>
          <w:szCs w:val="24"/>
          <w:lang w:bidi="bo-CN"/>
        </w:rPr>
        <w:t xml:space="preserve">an </w:t>
      </w:r>
      <w:r w:rsidR="00712BAA" w:rsidRPr="00C569C1">
        <w:rPr>
          <w:rFonts w:ascii="Arial Narrow" w:hAnsi="Arial Narrow"/>
          <w:sz w:val="24"/>
          <w:szCs w:val="24"/>
          <w:lang w:bidi="bo-CN"/>
        </w:rPr>
        <w:t>access to long term funds primarily through international financial institutions and donor programs</w:t>
      </w:r>
      <w:r>
        <w:rPr>
          <w:rFonts w:ascii="Arial Narrow" w:hAnsi="Arial Narrow"/>
          <w:sz w:val="24"/>
          <w:szCs w:val="24"/>
          <w:lang w:bidi="bo-CN"/>
        </w:rPr>
        <w:t>.</w:t>
      </w:r>
      <w:r w:rsidR="00712BAA" w:rsidRPr="00C569C1">
        <w:rPr>
          <w:rFonts w:ascii="Arial Narrow" w:hAnsi="Arial Narrow"/>
          <w:sz w:val="24"/>
          <w:szCs w:val="24"/>
          <w:lang w:bidi="bo-CN"/>
        </w:rPr>
        <w:t xml:space="preserve"> </w:t>
      </w:r>
      <w:r w:rsidR="00060048">
        <w:rPr>
          <w:rFonts w:ascii="Arial Narrow" w:eastAsia="Times New Roman" w:hAnsi="Arial Narrow" w:cs="Arial"/>
          <w:sz w:val="24"/>
          <w:szCs w:val="24"/>
        </w:rPr>
        <w:t>Over the past 5 years MIK has actively</w:t>
      </w:r>
      <w:r w:rsidR="007D011E">
        <w:rPr>
          <w:rFonts w:ascii="Arial Narrow" w:eastAsia="Times New Roman" w:hAnsi="Arial Narrow" w:cs="Arial"/>
          <w:sz w:val="24"/>
          <w:szCs w:val="24"/>
        </w:rPr>
        <w:t xml:space="preserve"> worked with both government </w:t>
      </w:r>
      <w:r w:rsidR="00060048">
        <w:rPr>
          <w:rFonts w:ascii="Arial Narrow" w:eastAsia="Times New Roman" w:hAnsi="Arial Narrow" w:cs="Arial"/>
          <w:sz w:val="24"/>
          <w:szCs w:val="24"/>
        </w:rPr>
        <w:t xml:space="preserve">and regulating agencies to set up legal regulatory framework of the secondary market in Mongolia. One of the prerequisite for secondary mortgage market institutions is to buy standardized mortgage loans. </w:t>
      </w:r>
      <w:r w:rsidR="00F74CC2">
        <w:rPr>
          <w:rFonts w:ascii="Arial Narrow" w:eastAsia="Times New Roman" w:hAnsi="Arial Narrow" w:cs="Arial"/>
          <w:sz w:val="24"/>
          <w:szCs w:val="24"/>
        </w:rPr>
        <w:t xml:space="preserve">During the time of MIK establishment commercial banks had its own standards procedures for issuing mortgage loans. One of the main objectives of MIK was to standardize all the loans issued in the market. Therefore MIK together with </w:t>
      </w:r>
      <w:r w:rsidR="00DD2A12">
        <w:rPr>
          <w:rFonts w:ascii="Arial Narrow" w:eastAsia="Times New Roman" w:hAnsi="Arial Narrow" w:cs="Arial"/>
          <w:sz w:val="24"/>
          <w:szCs w:val="24"/>
        </w:rPr>
        <w:t xml:space="preserve">representative of commercials banks </w:t>
      </w:r>
      <w:r w:rsidR="00D94171">
        <w:rPr>
          <w:rFonts w:ascii="Arial Narrow" w:eastAsia="Times New Roman" w:hAnsi="Arial Narrow" w:cs="Arial"/>
          <w:sz w:val="24"/>
          <w:szCs w:val="24"/>
        </w:rPr>
        <w:t xml:space="preserve">developed </w:t>
      </w:r>
      <w:r w:rsidR="00DD2A12">
        <w:rPr>
          <w:rFonts w:ascii="Arial Narrow" w:eastAsia="Times New Roman" w:hAnsi="Arial Narrow" w:cs="Arial"/>
          <w:sz w:val="24"/>
          <w:szCs w:val="24"/>
        </w:rPr>
        <w:t>Mortgage Standardization P</w:t>
      </w:r>
      <w:r w:rsidR="00D94171">
        <w:rPr>
          <w:rFonts w:ascii="Arial Narrow" w:eastAsia="Times New Roman" w:hAnsi="Arial Narrow" w:cs="Arial"/>
          <w:sz w:val="24"/>
          <w:szCs w:val="24"/>
        </w:rPr>
        <w:t xml:space="preserve">rocedure that is approved by </w:t>
      </w:r>
      <w:r w:rsidR="00D94171" w:rsidRPr="00DD2A12">
        <w:rPr>
          <w:rFonts w:ascii="Arial Narrow" w:eastAsia="Times New Roman" w:hAnsi="Arial Narrow" w:cs="Arial"/>
          <w:sz w:val="24"/>
          <w:szCs w:val="24"/>
        </w:rPr>
        <w:t>BoM in</w:t>
      </w:r>
      <w:r w:rsidR="00DD2A12" w:rsidRPr="00DD2A12">
        <w:rPr>
          <w:rFonts w:ascii="Arial Narrow" w:eastAsia="Times New Roman" w:hAnsi="Arial Narrow" w:cs="Arial"/>
          <w:sz w:val="24"/>
          <w:szCs w:val="24"/>
        </w:rPr>
        <w:t xml:space="preserve"> </w:t>
      </w:r>
      <w:r w:rsidR="00DD2A12" w:rsidRPr="00DD2A12">
        <w:rPr>
          <w:rFonts w:ascii="Arial Narrow" w:hAnsi="Arial Narrow" w:cs="Arial"/>
          <w:lang w:bidi="bo-CN"/>
        </w:rPr>
        <w:t>17Oct</w:t>
      </w:r>
      <w:r w:rsidR="00D94171" w:rsidRPr="00DD2A12">
        <w:rPr>
          <w:rFonts w:ascii="Arial Narrow" w:eastAsia="Times New Roman" w:hAnsi="Arial Narrow" w:cs="Arial"/>
          <w:sz w:val="24"/>
          <w:szCs w:val="24"/>
        </w:rPr>
        <w:t xml:space="preserve"> 2008</w:t>
      </w:r>
      <w:r w:rsidR="00D94171">
        <w:rPr>
          <w:rFonts w:ascii="Arial Narrow" w:eastAsia="Times New Roman" w:hAnsi="Arial Narrow" w:cs="Arial"/>
          <w:sz w:val="24"/>
          <w:szCs w:val="24"/>
        </w:rPr>
        <w:t xml:space="preserve"> for all the commercial banks to apply in th</w:t>
      </w:r>
      <w:r w:rsidR="00316FC6">
        <w:rPr>
          <w:rFonts w:ascii="Arial Narrow" w:eastAsia="Times New Roman" w:hAnsi="Arial Narrow" w:cs="Arial"/>
          <w:sz w:val="24"/>
          <w:szCs w:val="24"/>
        </w:rPr>
        <w:t xml:space="preserve">eir mortgage lending activities. MIK has also taken a major role on drafting the approved Mortgage and ABS law. </w:t>
      </w:r>
    </w:p>
    <w:p w:rsidR="000A4601" w:rsidRDefault="00A74F93" w:rsidP="00FD23F9">
      <w:pPr>
        <w:spacing w:line="240" w:lineRule="auto"/>
        <w:jc w:val="both"/>
      </w:pPr>
      <w:r>
        <w:rPr>
          <w:rFonts w:ascii="Arial Narrow" w:hAnsi="Arial Narrow" w:cs="Arial"/>
          <w:sz w:val="24"/>
          <w:szCs w:val="24"/>
          <w:lang w:bidi="bo-CN"/>
        </w:rPr>
        <w:t>On the cooperation side MIK engages with the many internationally recognized financial institutions</w:t>
      </w:r>
      <w:r w:rsidR="00FF5B61">
        <w:rPr>
          <w:rFonts w:ascii="Arial Narrow" w:hAnsi="Arial Narrow" w:cs="Arial"/>
          <w:sz w:val="24"/>
          <w:szCs w:val="24"/>
          <w:lang w:bidi="bo-CN"/>
        </w:rPr>
        <w:t xml:space="preserve">. Over the past few years MIK implemented several important projects with </w:t>
      </w:r>
      <w:r w:rsidR="00FF5B61">
        <w:rPr>
          <w:rFonts w:ascii="Arial Narrow" w:eastAsia="Times New Roman" w:hAnsi="Arial Narrow" w:cs="Arial"/>
          <w:sz w:val="24"/>
          <w:szCs w:val="24"/>
        </w:rPr>
        <w:t xml:space="preserve">International Finance Corporation /IFC, United Nations –Economic and Social Commission for Asia and the Pacific /UN-ESCAP/, </w:t>
      </w:r>
      <w:r w:rsidR="00FF5B61" w:rsidRPr="00D74064">
        <w:rPr>
          <w:rFonts w:ascii="Arial Narrow" w:hAnsi="Arial Narrow" w:cs="Arial"/>
          <w:sz w:val="24"/>
          <w:szCs w:val="24"/>
          <w:lang w:bidi="bo-CN"/>
        </w:rPr>
        <w:t>Asia Pacific Union for Housing Finance</w:t>
      </w:r>
      <w:r w:rsidR="00FF5B61">
        <w:rPr>
          <w:rFonts w:ascii="Arial Narrow" w:hAnsi="Arial Narrow" w:cs="Arial"/>
          <w:sz w:val="24"/>
          <w:szCs w:val="24"/>
          <w:lang w:bidi="bo-CN"/>
        </w:rPr>
        <w:t xml:space="preserve"> /APUHF and German Development Bank /KFW/</w:t>
      </w:r>
      <w:r w:rsidR="00C569C1">
        <w:rPr>
          <w:rFonts w:ascii="Arial Narrow" w:hAnsi="Arial Narrow" w:cs="Arial"/>
          <w:sz w:val="24"/>
          <w:szCs w:val="24"/>
          <w:lang w:bidi="bo-CN"/>
        </w:rPr>
        <w:t xml:space="preserve"> and Housing Finance Network /initiated by Wharton business school/</w:t>
      </w:r>
      <w:r w:rsidR="00C569C1">
        <w:t>.</w:t>
      </w:r>
    </w:p>
    <w:p w:rsidR="00361CA8" w:rsidRDefault="00FF5B61" w:rsidP="00FD23F9">
      <w:pPr>
        <w:spacing w:line="240" w:lineRule="auto"/>
        <w:jc w:val="both"/>
        <w:rPr>
          <w:rFonts w:ascii="Arial Narrow" w:eastAsia="Times New Roman" w:hAnsi="Arial Narrow" w:cs="Arial"/>
          <w:sz w:val="24"/>
          <w:szCs w:val="24"/>
        </w:rPr>
      </w:pPr>
      <w:r>
        <w:rPr>
          <w:rFonts w:ascii="Arial Narrow" w:eastAsia="Times New Roman" w:hAnsi="Arial Narrow" w:cs="Arial"/>
          <w:sz w:val="24"/>
          <w:szCs w:val="24"/>
        </w:rPr>
        <w:t>More specifically i</w:t>
      </w:r>
      <w:r w:rsidR="00076F7E">
        <w:rPr>
          <w:rFonts w:ascii="Arial Narrow" w:eastAsia="Times New Roman" w:hAnsi="Arial Narrow" w:cs="Arial"/>
          <w:sz w:val="24"/>
          <w:szCs w:val="24"/>
        </w:rPr>
        <w:t>n 2009</w:t>
      </w:r>
      <w:r w:rsidR="00D94171">
        <w:rPr>
          <w:rFonts w:ascii="Arial Narrow" w:eastAsia="Times New Roman" w:hAnsi="Arial Narrow" w:cs="Arial"/>
          <w:sz w:val="24"/>
          <w:szCs w:val="24"/>
        </w:rPr>
        <w:t xml:space="preserve"> MIK have implemented / to adapt</w:t>
      </w:r>
      <w:r w:rsidR="00076F7E">
        <w:rPr>
          <w:rFonts w:ascii="Arial Narrow" w:eastAsia="Times New Roman" w:hAnsi="Arial Narrow" w:cs="Arial"/>
          <w:sz w:val="24"/>
          <w:szCs w:val="24"/>
        </w:rPr>
        <w:t>ion of Mortgage</w:t>
      </w:r>
      <w:r w:rsidR="00D94171">
        <w:rPr>
          <w:rFonts w:ascii="Arial Narrow" w:eastAsia="Times New Roman" w:hAnsi="Arial Narrow" w:cs="Arial"/>
          <w:sz w:val="24"/>
          <w:szCs w:val="24"/>
        </w:rPr>
        <w:t xml:space="preserve"> Lending toolkit in Mongolia</w:t>
      </w:r>
      <w:r w:rsidR="00076F7E">
        <w:rPr>
          <w:rFonts w:ascii="Arial Narrow" w:eastAsia="Times New Roman" w:hAnsi="Arial Narrow" w:cs="Arial"/>
          <w:sz w:val="24"/>
          <w:szCs w:val="24"/>
        </w:rPr>
        <w:t xml:space="preserve"> project with International Finance Corporation /IFC and Shorebank International. The objective of this project was to standardize the mortgage lending activities by </w:t>
      </w:r>
      <w:r w:rsidR="00587F1D">
        <w:rPr>
          <w:rFonts w:ascii="Arial Narrow" w:eastAsia="Times New Roman" w:hAnsi="Arial Narrow" w:cs="Arial"/>
          <w:sz w:val="24"/>
          <w:szCs w:val="24"/>
        </w:rPr>
        <w:t>introducing internationally accepted toolkit.</w:t>
      </w:r>
      <w:r w:rsidR="00076F7E">
        <w:rPr>
          <w:rFonts w:ascii="Arial Narrow" w:eastAsia="Times New Roman" w:hAnsi="Arial Narrow" w:cs="Arial"/>
          <w:sz w:val="24"/>
          <w:szCs w:val="24"/>
        </w:rPr>
        <w:t xml:space="preserve"> Under this</w:t>
      </w:r>
      <w:r w:rsidR="00D94171">
        <w:rPr>
          <w:rFonts w:ascii="Arial Narrow" w:eastAsia="Times New Roman" w:hAnsi="Arial Narrow" w:cs="Arial"/>
          <w:sz w:val="24"/>
          <w:szCs w:val="24"/>
        </w:rPr>
        <w:t xml:space="preserve"> pro</w:t>
      </w:r>
      <w:r w:rsidR="00076F7E">
        <w:rPr>
          <w:rFonts w:ascii="Arial Narrow" w:eastAsia="Times New Roman" w:hAnsi="Arial Narrow" w:cs="Arial"/>
          <w:sz w:val="24"/>
          <w:szCs w:val="24"/>
        </w:rPr>
        <w:t xml:space="preserve">ject MIK has translated the </w:t>
      </w:r>
      <w:r w:rsidR="00D94171">
        <w:rPr>
          <w:rFonts w:ascii="Arial Narrow" w:eastAsia="Times New Roman" w:hAnsi="Arial Narrow" w:cs="Arial"/>
          <w:sz w:val="24"/>
          <w:szCs w:val="24"/>
        </w:rPr>
        <w:t>toolkit</w:t>
      </w:r>
      <w:r w:rsidR="00076F7E">
        <w:rPr>
          <w:rFonts w:ascii="Arial Narrow" w:eastAsia="Times New Roman" w:hAnsi="Arial Narrow" w:cs="Arial"/>
          <w:sz w:val="24"/>
          <w:szCs w:val="24"/>
        </w:rPr>
        <w:t xml:space="preserve"> adapted into Mongolian market standards and published the toolkit to all commercial banks including the financial institutions undertakes mortgage lending activities. By doing so in June 2009 and June 2010 MIK has also organized </w:t>
      </w:r>
      <w:r w:rsidR="000A4601">
        <w:rPr>
          <w:rFonts w:ascii="Arial Narrow" w:eastAsia="Times New Roman" w:hAnsi="Arial Narrow" w:cs="Arial"/>
          <w:sz w:val="24"/>
          <w:szCs w:val="24"/>
        </w:rPr>
        <w:t xml:space="preserve">a </w:t>
      </w:r>
      <w:r w:rsidR="00076F7E">
        <w:rPr>
          <w:rFonts w:ascii="Arial Narrow" w:eastAsia="Times New Roman" w:hAnsi="Arial Narrow" w:cs="Arial"/>
          <w:sz w:val="24"/>
          <w:szCs w:val="24"/>
        </w:rPr>
        <w:t xml:space="preserve">workshop for the commercials banks to introduce the toolkit in detailed manner. </w:t>
      </w:r>
    </w:p>
    <w:p w:rsidR="00B76687" w:rsidRPr="009603C2" w:rsidRDefault="00076F7E" w:rsidP="00FD23F9">
      <w:pPr>
        <w:spacing w:line="240" w:lineRule="auto"/>
        <w:jc w:val="both"/>
        <w:rPr>
          <w:rFonts w:ascii="Arial Narrow" w:eastAsia="Times New Roman" w:hAnsi="Arial Narrow" w:cs="Arial"/>
          <w:sz w:val="24"/>
          <w:szCs w:val="24"/>
        </w:rPr>
      </w:pPr>
      <w:r>
        <w:rPr>
          <w:rFonts w:ascii="Arial Narrow" w:eastAsia="Times New Roman" w:hAnsi="Arial Narrow" w:cs="Arial"/>
          <w:sz w:val="24"/>
          <w:szCs w:val="24"/>
        </w:rPr>
        <w:t xml:space="preserve">With the successful completion of the above project IFC has requested to implement second “Housing </w:t>
      </w:r>
      <w:r w:rsidR="00081F37">
        <w:rPr>
          <w:rFonts w:ascii="Arial Narrow" w:eastAsia="Times New Roman" w:hAnsi="Arial Narrow" w:cs="Arial"/>
          <w:sz w:val="24"/>
          <w:szCs w:val="24"/>
        </w:rPr>
        <w:t xml:space="preserve">Micro </w:t>
      </w:r>
      <w:r>
        <w:rPr>
          <w:rFonts w:ascii="Arial Narrow" w:eastAsia="Times New Roman" w:hAnsi="Arial Narrow" w:cs="Arial"/>
          <w:sz w:val="24"/>
          <w:szCs w:val="24"/>
        </w:rPr>
        <w:t>Finance” project in Mongolia. Du</w:t>
      </w:r>
      <w:r w:rsidR="00081F37">
        <w:rPr>
          <w:rFonts w:ascii="Arial Narrow" w:eastAsia="Times New Roman" w:hAnsi="Arial Narrow" w:cs="Arial"/>
          <w:sz w:val="24"/>
          <w:szCs w:val="24"/>
        </w:rPr>
        <w:t xml:space="preserve">ring the implementation of the </w:t>
      </w:r>
      <w:r>
        <w:rPr>
          <w:rFonts w:ascii="Arial Narrow" w:eastAsia="Times New Roman" w:hAnsi="Arial Narrow" w:cs="Arial"/>
          <w:sz w:val="24"/>
          <w:szCs w:val="24"/>
        </w:rPr>
        <w:t>H</w:t>
      </w:r>
      <w:r w:rsidR="00081F37">
        <w:rPr>
          <w:rFonts w:ascii="Arial Narrow" w:eastAsia="Times New Roman" w:hAnsi="Arial Narrow" w:cs="Arial"/>
          <w:sz w:val="24"/>
          <w:szCs w:val="24"/>
        </w:rPr>
        <w:t>M</w:t>
      </w:r>
      <w:r>
        <w:rPr>
          <w:rFonts w:ascii="Arial Narrow" w:eastAsia="Times New Roman" w:hAnsi="Arial Narrow" w:cs="Arial"/>
          <w:sz w:val="24"/>
          <w:szCs w:val="24"/>
        </w:rPr>
        <w:t>F project MIK has done comprehensive market assessment in two cities in Darkhan and Ulaa</w:t>
      </w:r>
      <w:r w:rsidR="00587F1D">
        <w:rPr>
          <w:rFonts w:ascii="Arial Narrow" w:eastAsia="Times New Roman" w:hAnsi="Arial Narrow" w:cs="Arial"/>
          <w:sz w:val="24"/>
          <w:szCs w:val="24"/>
        </w:rPr>
        <w:t>n</w:t>
      </w:r>
      <w:r>
        <w:rPr>
          <w:rFonts w:ascii="Arial Narrow" w:eastAsia="Times New Roman" w:hAnsi="Arial Narrow" w:cs="Arial"/>
          <w:sz w:val="24"/>
          <w:szCs w:val="24"/>
        </w:rPr>
        <w:t xml:space="preserve">baatar </w:t>
      </w:r>
      <w:r w:rsidR="008810B0">
        <w:rPr>
          <w:rFonts w:ascii="Arial Narrow" w:eastAsia="Times New Roman" w:hAnsi="Arial Narrow" w:cs="Arial"/>
          <w:sz w:val="24"/>
          <w:szCs w:val="24"/>
        </w:rPr>
        <w:t>city. The</w:t>
      </w:r>
      <w:r w:rsidR="00587F1D">
        <w:rPr>
          <w:rFonts w:ascii="Arial Narrow" w:eastAsia="Times New Roman" w:hAnsi="Arial Narrow" w:cs="Arial"/>
          <w:sz w:val="24"/>
          <w:szCs w:val="24"/>
        </w:rPr>
        <w:t xml:space="preserve"> assessment not only concentrated on the demand side </w:t>
      </w:r>
      <w:r w:rsidR="008810B0">
        <w:rPr>
          <w:rFonts w:ascii="Arial Narrow" w:eastAsia="Times New Roman" w:hAnsi="Arial Narrow" w:cs="Arial"/>
          <w:sz w:val="24"/>
          <w:szCs w:val="24"/>
        </w:rPr>
        <w:t xml:space="preserve">f the market to determine the demand for micro housing loans which comparable short term in tenor with relatively high interest rate </w:t>
      </w:r>
      <w:r w:rsidR="008810B0" w:rsidRPr="00D74064">
        <w:rPr>
          <w:rFonts w:ascii="Arial Narrow" w:eastAsia="Times New Roman" w:hAnsi="Arial Narrow" w:cs="Arial"/>
          <w:sz w:val="24"/>
          <w:szCs w:val="24"/>
        </w:rPr>
        <w:t xml:space="preserve">compared to mortgage loan </w:t>
      </w:r>
      <w:r w:rsidR="00587F1D" w:rsidRPr="00D74064">
        <w:rPr>
          <w:rFonts w:ascii="Arial Narrow" w:eastAsia="Times New Roman" w:hAnsi="Arial Narrow" w:cs="Arial"/>
          <w:sz w:val="24"/>
          <w:szCs w:val="24"/>
        </w:rPr>
        <w:t xml:space="preserve">but also supply side of the </w:t>
      </w:r>
      <w:r w:rsidR="00081F37" w:rsidRPr="00D74064">
        <w:rPr>
          <w:rFonts w:ascii="Arial Narrow" w:eastAsia="Times New Roman" w:hAnsi="Arial Narrow" w:cs="Arial"/>
          <w:sz w:val="24"/>
          <w:szCs w:val="24"/>
        </w:rPr>
        <w:t xml:space="preserve">supply factors affecting the HMF lenders. </w:t>
      </w:r>
      <w:r w:rsidR="00F76F72">
        <w:rPr>
          <w:rFonts w:ascii="Arial Narrow" w:eastAsia="Times New Roman" w:hAnsi="Arial Narrow" w:cs="Arial"/>
          <w:sz w:val="24"/>
          <w:szCs w:val="24"/>
        </w:rPr>
        <w:t xml:space="preserve">MIK has successfully completed the project by preparing valuable recommendation to IFC to develop HMF market in Mongolia. </w:t>
      </w:r>
      <w:r w:rsidR="00B76687">
        <w:rPr>
          <w:rFonts w:ascii="Arial Narrow" w:eastAsia="Times New Roman" w:hAnsi="Arial Narrow" w:cs="Arial"/>
          <w:sz w:val="24"/>
          <w:szCs w:val="24"/>
        </w:rPr>
        <w:t xml:space="preserve">Furthermore with the approval of the Parliament </w:t>
      </w:r>
      <w:r w:rsidR="00B76687" w:rsidRPr="00D74064">
        <w:rPr>
          <w:rFonts w:ascii="Arial Narrow" w:hAnsi="Arial Narrow" w:cs="Arial"/>
          <w:sz w:val="24"/>
          <w:szCs w:val="24"/>
          <w:lang w:bidi="bo-CN"/>
        </w:rPr>
        <w:t>to support promotional activities in the housing finance sector</w:t>
      </w:r>
      <w:r w:rsidR="00B76687">
        <w:rPr>
          <w:rFonts w:ascii="Arial Narrow" w:eastAsia="Times New Roman" w:hAnsi="Arial Narrow" w:cs="Arial"/>
          <w:sz w:val="24"/>
          <w:szCs w:val="24"/>
        </w:rPr>
        <w:t xml:space="preserve"> MIK is provided by financial resource </w:t>
      </w:r>
      <w:r w:rsidR="00B76687" w:rsidRPr="00D74064">
        <w:rPr>
          <w:rFonts w:ascii="Arial Narrow" w:hAnsi="Arial Narrow" w:cs="Arial"/>
          <w:sz w:val="24"/>
          <w:szCs w:val="24"/>
          <w:lang w:bidi="bo-CN"/>
        </w:rPr>
        <w:t xml:space="preserve">German Development Bank </w:t>
      </w:r>
      <w:r w:rsidR="00B76687">
        <w:rPr>
          <w:rFonts w:ascii="Arial Narrow" w:hAnsi="Arial Narrow" w:cs="Arial"/>
          <w:sz w:val="24"/>
          <w:szCs w:val="24"/>
          <w:lang w:bidi="bo-CN"/>
        </w:rPr>
        <w:t>/KFW/ starting November 2009.</w:t>
      </w:r>
    </w:p>
    <w:p w:rsidR="00B76687" w:rsidRDefault="00A74F93" w:rsidP="00102156">
      <w:pPr>
        <w:spacing w:before="100" w:beforeAutospacing="1" w:after="100" w:afterAutospacing="1" w:line="240" w:lineRule="auto"/>
        <w:jc w:val="both"/>
        <w:rPr>
          <w:rFonts w:ascii="Arial Narrow" w:hAnsi="Arial Narrow" w:cs="Arial"/>
          <w:sz w:val="24"/>
          <w:szCs w:val="24"/>
          <w:lang w:bidi="bo-CN"/>
        </w:rPr>
      </w:pPr>
      <w:r>
        <w:rPr>
          <w:rFonts w:ascii="Arial Narrow" w:hAnsi="Arial Narrow" w:cs="Arial"/>
          <w:sz w:val="24"/>
          <w:szCs w:val="24"/>
          <w:lang w:bidi="bo-CN"/>
        </w:rPr>
        <w:lastRenderedPageBreak/>
        <w:t xml:space="preserve">On the cooperation side MIK engages with the internationally recognized financial institutions. </w:t>
      </w:r>
      <w:r w:rsidR="00B76687" w:rsidRPr="00D74064">
        <w:rPr>
          <w:rFonts w:ascii="Arial Narrow" w:hAnsi="Arial Narrow" w:cs="Arial"/>
          <w:sz w:val="24"/>
          <w:szCs w:val="24"/>
          <w:lang w:bidi="bo-CN"/>
        </w:rPr>
        <w:t>Asia Pacific Union for Housing Finance</w:t>
      </w:r>
      <w:r w:rsidR="00FF5B61">
        <w:rPr>
          <w:rFonts w:ascii="Arial Narrow" w:hAnsi="Arial Narrow" w:cs="Arial"/>
          <w:sz w:val="24"/>
          <w:szCs w:val="24"/>
          <w:lang w:bidi="bo-CN"/>
        </w:rPr>
        <w:t xml:space="preserve"> /APUHF/</w:t>
      </w:r>
      <w:r w:rsidR="00B76687">
        <w:rPr>
          <w:rFonts w:ascii="Arial Narrow" w:hAnsi="Arial Narrow" w:cs="Arial"/>
          <w:sz w:val="24"/>
          <w:szCs w:val="24"/>
          <w:lang w:bidi="bo-CN"/>
        </w:rPr>
        <w:t xml:space="preserve"> is the union and platform acting as an experience sharing networking among the South Asian countries. As representing Mongolia in the union the MIK has proposed and successfully organized union’s first regional form in Ulaanbaatar Mongolia June 2011 bring officials together from South Asian countries. Starting January 2012 is actively engaging in union’s activity and has become one of the </w:t>
      </w:r>
      <w:r w:rsidR="00B76687" w:rsidRPr="00D74064">
        <w:rPr>
          <w:rFonts w:ascii="Arial Narrow" w:hAnsi="Arial Narrow" w:cs="Arial"/>
          <w:sz w:val="24"/>
          <w:szCs w:val="24"/>
          <w:lang w:bidi="bo-CN"/>
        </w:rPr>
        <w:t>advisory board members</w:t>
      </w:r>
      <w:r w:rsidR="00B76687">
        <w:rPr>
          <w:rFonts w:ascii="Arial Narrow" w:hAnsi="Arial Narrow" w:cs="Arial"/>
          <w:sz w:val="24"/>
          <w:szCs w:val="24"/>
          <w:lang w:bidi="bo-CN"/>
        </w:rPr>
        <w:t xml:space="preserve">. Meanwhile MIK is also member of the </w:t>
      </w:r>
      <w:r w:rsidR="00B76687" w:rsidRPr="00D74064">
        <w:rPr>
          <w:rFonts w:ascii="Arial Narrow" w:hAnsi="Arial Narrow" w:cs="Arial"/>
          <w:sz w:val="24"/>
          <w:szCs w:val="24"/>
          <w:lang w:bidi="bo-CN"/>
        </w:rPr>
        <w:t>International Union for Housing Finance /IUHF/</w:t>
      </w:r>
      <w:r w:rsidR="00B76687">
        <w:rPr>
          <w:rFonts w:ascii="Arial Narrow" w:hAnsi="Arial Narrow" w:cs="Arial"/>
          <w:sz w:val="24"/>
          <w:szCs w:val="24"/>
          <w:lang w:bidi="bo-CN"/>
        </w:rPr>
        <w:t xml:space="preserve">. </w:t>
      </w:r>
      <w:r w:rsidR="00361CA8">
        <w:rPr>
          <w:rFonts w:ascii="Arial Narrow" w:hAnsi="Arial Narrow" w:cs="Arial"/>
          <w:sz w:val="24"/>
          <w:szCs w:val="24"/>
          <w:lang w:bidi="bo-CN"/>
        </w:rPr>
        <w:t xml:space="preserve">Also </w:t>
      </w:r>
      <w:r w:rsidR="007D0C47">
        <w:rPr>
          <w:rFonts w:ascii="Arial Narrow" w:hAnsi="Arial Narrow" w:cs="Arial"/>
          <w:sz w:val="24"/>
          <w:szCs w:val="24"/>
          <w:lang w:bidi="bo-CN"/>
        </w:rPr>
        <w:t xml:space="preserve">MIK is </w:t>
      </w:r>
      <w:r w:rsidR="00361CA8">
        <w:rPr>
          <w:rFonts w:ascii="Arial Narrow" w:hAnsi="Arial Narrow" w:cs="Arial"/>
          <w:sz w:val="24"/>
          <w:szCs w:val="24"/>
          <w:lang w:bidi="bo-CN"/>
        </w:rPr>
        <w:t xml:space="preserve">an </w:t>
      </w:r>
      <w:r w:rsidR="007D0C47">
        <w:rPr>
          <w:rFonts w:ascii="Arial Narrow" w:hAnsi="Arial Narrow" w:cs="Arial"/>
          <w:sz w:val="24"/>
          <w:szCs w:val="24"/>
          <w:lang w:bidi="bo-CN"/>
        </w:rPr>
        <w:t>advisory board member of the “</w:t>
      </w:r>
      <w:r w:rsidR="00361CA8">
        <w:rPr>
          <w:rFonts w:ascii="Arial Narrow" w:hAnsi="Arial Narrow" w:cs="Arial"/>
          <w:sz w:val="24"/>
          <w:szCs w:val="24"/>
          <w:lang w:bidi="bo-CN"/>
        </w:rPr>
        <w:t>Asia Pacific Housing Journal</w:t>
      </w:r>
      <w:r w:rsidR="007D0C47">
        <w:rPr>
          <w:rFonts w:ascii="Arial Narrow" w:hAnsi="Arial Narrow" w:cs="Arial"/>
          <w:sz w:val="24"/>
          <w:szCs w:val="24"/>
          <w:lang w:bidi="bo-CN"/>
        </w:rPr>
        <w:t>”</w:t>
      </w:r>
      <w:r w:rsidR="00361CA8">
        <w:rPr>
          <w:rFonts w:ascii="Arial Narrow" w:hAnsi="Arial Narrow" w:cs="Arial"/>
          <w:sz w:val="24"/>
          <w:szCs w:val="24"/>
          <w:lang w:bidi="bo-CN"/>
        </w:rPr>
        <w:t xml:space="preserve"> </w:t>
      </w:r>
      <w:r w:rsidR="007D0C47">
        <w:rPr>
          <w:rFonts w:ascii="Arial Narrow" w:hAnsi="Arial Narrow" w:cs="Arial"/>
          <w:sz w:val="24"/>
          <w:szCs w:val="24"/>
          <w:lang w:bidi="bo-CN"/>
        </w:rPr>
        <w:t>published by Government Housing Bank of Thailand</w:t>
      </w:r>
      <w:r w:rsidR="00361CA8">
        <w:rPr>
          <w:rFonts w:ascii="Arial Narrow" w:hAnsi="Arial Narrow" w:cs="Arial"/>
          <w:sz w:val="24"/>
          <w:szCs w:val="24"/>
          <w:lang w:bidi="bo-CN"/>
        </w:rPr>
        <w:t xml:space="preserve">. </w:t>
      </w:r>
    </w:p>
    <w:p w:rsidR="005D6FDD" w:rsidRPr="00102156" w:rsidRDefault="00F76F72" w:rsidP="004C6989">
      <w:pPr>
        <w:spacing w:line="240" w:lineRule="auto"/>
        <w:jc w:val="both"/>
        <w:rPr>
          <w:rFonts w:ascii="Arial Narrow" w:eastAsia="Times New Roman" w:hAnsi="Arial Narrow" w:cs="Arial"/>
          <w:sz w:val="24"/>
          <w:szCs w:val="24"/>
        </w:rPr>
      </w:pPr>
      <w:r>
        <w:rPr>
          <w:rFonts w:ascii="Arial Narrow" w:hAnsi="Arial Narrow" w:cs="Arial"/>
          <w:sz w:val="24"/>
          <w:szCs w:val="24"/>
          <w:lang w:bidi="bo-CN"/>
        </w:rPr>
        <w:t xml:space="preserve">Under the core activity of the company </w:t>
      </w:r>
      <w:r w:rsidR="00DF35BB">
        <w:rPr>
          <w:rFonts w:ascii="Arial Narrow" w:hAnsi="Arial Narrow" w:cs="Arial"/>
          <w:sz w:val="24"/>
          <w:szCs w:val="24"/>
          <w:lang w:bidi="bo-CN"/>
        </w:rPr>
        <w:t xml:space="preserve">to provide liquidity to the commercial banks by selling mortgage backed security to capital market </w:t>
      </w:r>
      <w:r w:rsidR="00DF35BB">
        <w:rPr>
          <w:rFonts w:ascii="Arial Narrow" w:hAnsi="Arial Narrow" w:cs="Times New Roman"/>
          <w:sz w:val="24"/>
          <w:szCs w:val="24"/>
        </w:rPr>
        <w:t>i</w:t>
      </w:r>
      <w:r w:rsidR="00DF35BB" w:rsidRPr="00D74064">
        <w:rPr>
          <w:rFonts w:ascii="Arial Narrow" w:hAnsi="Arial Narrow" w:cs="Times New Roman"/>
          <w:sz w:val="24"/>
          <w:szCs w:val="24"/>
        </w:rPr>
        <w:t>n total MIK has purchased 21 billion tugrig of mortgage portfolios from 9 different banks</w:t>
      </w:r>
      <w:r w:rsidR="00DF35BB">
        <w:rPr>
          <w:rFonts w:ascii="Arial Narrow" w:hAnsi="Arial Narrow" w:cs="Times New Roman"/>
          <w:sz w:val="24"/>
          <w:szCs w:val="24"/>
        </w:rPr>
        <w:t xml:space="preserve">. </w:t>
      </w:r>
      <w:r w:rsidR="00DF35BB" w:rsidRPr="00D74064">
        <w:rPr>
          <w:rFonts w:ascii="Arial Narrow" w:hAnsi="Arial Narrow" w:cs="Arial"/>
          <w:sz w:val="24"/>
          <w:szCs w:val="24"/>
          <w:lang w:bidi="bo-CN"/>
        </w:rPr>
        <w:t xml:space="preserve">Standards of MIK loan purchase criteria enabled </w:t>
      </w:r>
      <w:r w:rsidR="00DF35BB" w:rsidRPr="00D74064">
        <w:rPr>
          <w:rFonts w:ascii="Arial Narrow" w:hAnsi="Arial Narrow" w:cs="Times New Roman"/>
          <w:sz w:val="24"/>
          <w:szCs w:val="24"/>
        </w:rPr>
        <w:t xml:space="preserve">MIK to purchase </w:t>
      </w:r>
      <w:r w:rsidR="00DF35BB">
        <w:rPr>
          <w:rFonts w:ascii="Arial Narrow" w:hAnsi="Arial Narrow" w:cs="Times New Roman"/>
          <w:sz w:val="24"/>
          <w:szCs w:val="24"/>
        </w:rPr>
        <w:t xml:space="preserve">best performing loans from the banking sector. </w:t>
      </w:r>
      <w:r w:rsidR="00102156">
        <w:rPr>
          <w:rFonts w:ascii="Arial Narrow" w:eastAsia="Times New Roman" w:hAnsi="Arial Narrow" w:cs="Arial"/>
          <w:sz w:val="24"/>
          <w:szCs w:val="24"/>
        </w:rPr>
        <w:t>Even though the bond market is not well developed</w:t>
      </w:r>
      <w:r w:rsidR="004C6989">
        <w:rPr>
          <w:rFonts w:ascii="Arial Narrow" w:eastAsia="Times New Roman" w:hAnsi="Arial Narrow" w:cs="Arial"/>
          <w:sz w:val="24"/>
          <w:szCs w:val="24"/>
        </w:rPr>
        <w:t>, absence of rating agency and institutional investor</w:t>
      </w:r>
      <w:r w:rsidR="00DF35BB">
        <w:rPr>
          <w:rFonts w:ascii="Arial Narrow" w:hAnsi="Arial Narrow" w:cs="Times New Roman"/>
          <w:sz w:val="24"/>
          <w:szCs w:val="24"/>
        </w:rPr>
        <w:t xml:space="preserve"> December 2009 </w:t>
      </w:r>
      <w:r w:rsidR="004C6989">
        <w:rPr>
          <w:rFonts w:ascii="Arial Narrow" w:hAnsi="Arial Narrow" w:cs="Times New Roman"/>
          <w:sz w:val="24"/>
          <w:szCs w:val="24"/>
        </w:rPr>
        <w:t xml:space="preserve">MIK has </w:t>
      </w:r>
      <w:r w:rsidR="00DF35BB">
        <w:rPr>
          <w:rFonts w:ascii="Arial Narrow" w:hAnsi="Arial Narrow" w:cs="Times New Roman"/>
          <w:sz w:val="24"/>
          <w:szCs w:val="24"/>
        </w:rPr>
        <w:t xml:space="preserve">issued </w:t>
      </w:r>
      <w:r w:rsidR="00DF35BB" w:rsidRPr="00D74064">
        <w:rPr>
          <w:rFonts w:ascii="Arial Narrow" w:hAnsi="Arial Narrow" w:cs="Times New Roman"/>
          <w:sz w:val="24"/>
          <w:szCs w:val="24"/>
        </w:rPr>
        <w:t>6.3 b</w:t>
      </w:r>
      <w:r w:rsidR="00DF35BB">
        <w:rPr>
          <w:rFonts w:ascii="Arial Narrow" w:hAnsi="Arial Narrow" w:cs="Times New Roman"/>
          <w:sz w:val="24"/>
          <w:szCs w:val="24"/>
        </w:rPr>
        <w:t xml:space="preserve">illion tugrig of covered bond </w:t>
      </w:r>
      <w:r w:rsidR="004C6989">
        <w:rPr>
          <w:rFonts w:ascii="Arial Narrow" w:hAnsi="Arial Narrow" w:cs="Times New Roman"/>
          <w:sz w:val="24"/>
          <w:szCs w:val="24"/>
        </w:rPr>
        <w:t xml:space="preserve">to commercial banks and insurance companies </w:t>
      </w:r>
      <w:r w:rsidR="00DF35BB">
        <w:rPr>
          <w:rFonts w:ascii="Arial Narrow" w:hAnsi="Arial Narrow" w:cs="Times New Roman"/>
          <w:sz w:val="24"/>
          <w:szCs w:val="24"/>
        </w:rPr>
        <w:t>with longest maturity up to 5 years.</w:t>
      </w:r>
      <w:r w:rsidR="00BC59B8" w:rsidRPr="00DD2A12">
        <w:rPr>
          <w:rFonts w:ascii="Arial Narrow" w:eastAsia="Times New Roman" w:hAnsi="Arial Narrow" w:cs="Arial"/>
          <w:sz w:val="24"/>
          <w:szCs w:val="24"/>
        </w:rPr>
        <w:t>MIK bonds qualify as a Repo finan</w:t>
      </w:r>
      <w:r w:rsidR="00DD2A12">
        <w:rPr>
          <w:rFonts w:ascii="Arial Narrow" w:eastAsia="Times New Roman" w:hAnsi="Arial Narrow" w:cs="Arial"/>
          <w:sz w:val="24"/>
          <w:szCs w:val="24"/>
        </w:rPr>
        <w:t xml:space="preserve">cing instrument by BoM. </w:t>
      </w:r>
      <w:r w:rsidR="004C6989">
        <w:rPr>
          <w:rFonts w:ascii="Arial Narrow" w:eastAsia="Times New Roman" w:hAnsi="Arial Narrow" w:cs="Arial"/>
          <w:sz w:val="24"/>
          <w:szCs w:val="24"/>
        </w:rPr>
        <w:t xml:space="preserve">In </w:t>
      </w:r>
      <w:r w:rsidR="00DD2A12">
        <w:rPr>
          <w:rFonts w:ascii="Arial Narrow" w:hAnsi="Arial Narrow" w:cs="Arial"/>
          <w:sz w:val="24"/>
          <w:szCs w:val="24"/>
          <w:lang w:bidi="bo-CN"/>
        </w:rPr>
        <w:t>21</w:t>
      </w:r>
      <w:r w:rsidR="00DD2A12" w:rsidRPr="00316FC6">
        <w:rPr>
          <w:rFonts w:ascii="Arial Narrow" w:hAnsi="Arial Narrow" w:cs="Arial"/>
          <w:sz w:val="24"/>
          <w:szCs w:val="24"/>
          <w:vertAlign w:val="superscript"/>
          <w:lang w:bidi="bo-CN"/>
        </w:rPr>
        <w:t>st</w:t>
      </w:r>
      <w:r w:rsidR="00DD2A12">
        <w:rPr>
          <w:rFonts w:ascii="Arial Narrow" w:hAnsi="Arial Narrow" w:cs="Arial"/>
          <w:sz w:val="24"/>
          <w:szCs w:val="24"/>
          <w:lang w:bidi="bo-CN"/>
        </w:rPr>
        <w:t xml:space="preserve"> of March 2012 Financial Regulatory Commission of Mongolia /FRC/ approved MIK as a housing finance company </w:t>
      </w:r>
      <w:r w:rsidR="00901048">
        <w:rPr>
          <w:rFonts w:ascii="Arial Narrow" w:hAnsi="Arial Narrow" w:cs="Arial"/>
          <w:sz w:val="24"/>
          <w:szCs w:val="24"/>
          <w:lang w:bidi="bo-CN"/>
        </w:rPr>
        <w:t>“S</w:t>
      </w:r>
      <w:r w:rsidR="00DD2A12">
        <w:rPr>
          <w:rFonts w:ascii="Arial Narrow" w:hAnsi="Arial Narrow" w:cs="Arial"/>
          <w:sz w:val="24"/>
          <w:szCs w:val="24"/>
          <w:lang w:bidi="bo-CN"/>
        </w:rPr>
        <w:t xml:space="preserve">pecial permission </w:t>
      </w:r>
      <w:r w:rsidR="00712BAA">
        <w:rPr>
          <w:rFonts w:ascii="Arial Narrow" w:hAnsi="Arial Narrow" w:cs="Arial"/>
          <w:sz w:val="24"/>
          <w:szCs w:val="24"/>
          <w:lang w:bidi="bo-CN"/>
        </w:rPr>
        <w:t xml:space="preserve">“to engage in securitization activities in capital market. </w:t>
      </w:r>
      <w:r w:rsidR="00901048">
        <w:rPr>
          <w:rFonts w:ascii="Arial Narrow" w:hAnsi="Arial Narrow" w:cs="Arial"/>
          <w:sz w:val="24"/>
          <w:szCs w:val="24"/>
          <w:lang w:bidi="bo-CN"/>
        </w:rPr>
        <w:t xml:space="preserve"> </w:t>
      </w:r>
    </w:p>
    <w:p w:rsidR="007361E5" w:rsidRDefault="005D11EF" w:rsidP="0085477B">
      <w:pPr>
        <w:spacing w:line="240" w:lineRule="auto"/>
        <w:jc w:val="both"/>
        <w:rPr>
          <w:rFonts w:ascii="Arial Narrow" w:hAnsi="Arial Narrow" w:cs="Arial"/>
          <w:sz w:val="24"/>
          <w:szCs w:val="24"/>
          <w:lang w:bidi="bo-CN"/>
        </w:rPr>
      </w:pPr>
      <w:r>
        <w:rPr>
          <w:rFonts w:ascii="Arial Narrow" w:hAnsi="Arial Narrow" w:cs="Arial"/>
          <w:sz w:val="24"/>
          <w:szCs w:val="24"/>
          <w:lang w:bidi="bo-CN"/>
        </w:rPr>
        <w:t xml:space="preserve">MIK will continue to work towards extending the mortgage market in Mongolia by building well functioned secondary mortgage market creating local institutional investors to boost the local capital market as well as to issue mortgage backed bonds and securities to the international market capital market. </w:t>
      </w:r>
      <w:r w:rsidR="00901048">
        <w:rPr>
          <w:rFonts w:ascii="Arial Narrow" w:hAnsi="Arial Narrow" w:cs="Arial"/>
          <w:sz w:val="24"/>
          <w:szCs w:val="24"/>
          <w:lang w:bidi="bo-CN"/>
        </w:rPr>
        <w:t>Ultimately</w:t>
      </w:r>
      <w:r w:rsidR="00FF1A0F">
        <w:rPr>
          <w:rFonts w:ascii="Arial Narrow" w:hAnsi="Arial Narrow" w:cs="Arial"/>
          <w:sz w:val="24"/>
          <w:szCs w:val="24"/>
          <w:lang w:bidi="bo-CN"/>
        </w:rPr>
        <w:t xml:space="preserve"> by raising funds from </w:t>
      </w:r>
      <w:r w:rsidR="00A74F93">
        <w:rPr>
          <w:rFonts w:ascii="Arial Narrow" w:hAnsi="Arial Narrow" w:cs="Arial"/>
          <w:sz w:val="24"/>
          <w:szCs w:val="24"/>
          <w:lang w:bidi="bo-CN"/>
        </w:rPr>
        <w:t>capit</w:t>
      </w:r>
      <w:r w:rsidR="00FF1A0F">
        <w:rPr>
          <w:rFonts w:ascii="Arial Narrow" w:hAnsi="Arial Narrow" w:cs="Arial"/>
          <w:sz w:val="24"/>
          <w:szCs w:val="24"/>
          <w:lang w:bidi="bo-CN"/>
        </w:rPr>
        <w:t xml:space="preserve">al market MIK will contribute increase in </w:t>
      </w:r>
      <w:r w:rsidR="00A74F93">
        <w:rPr>
          <w:rFonts w:ascii="Arial Narrow" w:hAnsi="Arial Narrow" w:cs="Arial"/>
          <w:sz w:val="24"/>
          <w:szCs w:val="24"/>
          <w:lang w:bidi="bo-CN"/>
        </w:rPr>
        <w:t>long term, low interest rate affordable of housi</w:t>
      </w:r>
      <w:r w:rsidR="0085477B">
        <w:rPr>
          <w:rFonts w:ascii="Arial Narrow" w:hAnsi="Arial Narrow" w:cs="Arial"/>
          <w:sz w:val="24"/>
          <w:szCs w:val="24"/>
          <w:lang w:bidi="bo-CN"/>
        </w:rPr>
        <w:t>ng loans to Mongolian citizens.</w:t>
      </w:r>
    </w:p>
    <w:p w:rsidR="005D11EF" w:rsidRPr="005D11EF" w:rsidRDefault="00FF1A0F" w:rsidP="0085477B">
      <w:pPr>
        <w:spacing w:line="240" w:lineRule="auto"/>
        <w:jc w:val="both"/>
        <w:rPr>
          <w:rFonts w:ascii="Arial Narrow" w:hAnsi="Arial Narrow" w:cs="Arial"/>
          <w:sz w:val="24"/>
          <w:szCs w:val="24"/>
        </w:rPr>
      </w:pPr>
      <w:r>
        <w:rPr>
          <w:rFonts w:ascii="Arial Narrow" w:hAnsi="Arial Narrow" w:cs="Arial"/>
          <w:sz w:val="24"/>
          <w:szCs w:val="24"/>
        </w:rPr>
        <w:t xml:space="preserve">The </w:t>
      </w:r>
      <w:r w:rsidR="005D11EF" w:rsidRPr="005D11EF">
        <w:rPr>
          <w:rFonts w:ascii="Arial Narrow" w:hAnsi="Arial Narrow" w:cs="Arial"/>
          <w:sz w:val="24"/>
          <w:szCs w:val="24"/>
        </w:rPr>
        <w:t xml:space="preserve">stable, growing </w:t>
      </w:r>
      <w:r>
        <w:rPr>
          <w:rFonts w:ascii="Arial Narrow" w:hAnsi="Arial Narrow" w:cs="Arial"/>
          <w:sz w:val="24"/>
          <w:szCs w:val="24"/>
        </w:rPr>
        <w:t xml:space="preserve">Mongolian </w:t>
      </w:r>
      <w:r w:rsidR="005D11EF" w:rsidRPr="005D11EF">
        <w:rPr>
          <w:rFonts w:ascii="Arial Narrow" w:hAnsi="Arial Narrow" w:cs="Arial"/>
          <w:sz w:val="24"/>
          <w:szCs w:val="24"/>
        </w:rPr>
        <w:t xml:space="preserve">economy will encourage the growth of the housing finance system through lower inflation, lower interest rates, and lower systemic </w:t>
      </w:r>
      <w:r w:rsidR="00C16CF3" w:rsidRPr="005D11EF">
        <w:rPr>
          <w:rFonts w:ascii="Arial Narrow" w:hAnsi="Arial Narrow" w:cs="Arial"/>
          <w:sz w:val="24"/>
          <w:szCs w:val="24"/>
        </w:rPr>
        <w:t>risk</w:t>
      </w:r>
      <w:r w:rsidR="00C16CF3">
        <w:rPr>
          <w:rFonts w:ascii="Arial Narrow" w:hAnsi="Arial Narrow" w:cs="Arial"/>
          <w:sz w:val="24"/>
          <w:szCs w:val="24"/>
        </w:rPr>
        <w:t xml:space="preserve">. However proper housing finance infrastructure based </w:t>
      </w:r>
      <w:r w:rsidR="0096179E">
        <w:rPr>
          <w:rFonts w:ascii="Arial Narrow" w:hAnsi="Arial Narrow" w:cs="Arial"/>
          <w:sz w:val="24"/>
          <w:szCs w:val="24"/>
        </w:rPr>
        <w:t xml:space="preserve">on </w:t>
      </w:r>
      <w:r w:rsidR="00322CB1">
        <w:rPr>
          <w:rFonts w:ascii="Arial Narrow" w:hAnsi="Arial Narrow" w:cs="Arial"/>
          <w:sz w:val="24"/>
          <w:szCs w:val="24"/>
        </w:rPr>
        <w:t xml:space="preserve">policy integrated </w:t>
      </w:r>
      <w:r w:rsidR="00C16CF3">
        <w:rPr>
          <w:rFonts w:ascii="Arial Narrow" w:hAnsi="Arial Narrow" w:cs="Arial"/>
          <w:sz w:val="24"/>
          <w:szCs w:val="24"/>
        </w:rPr>
        <w:t xml:space="preserve">public and private </w:t>
      </w:r>
      <w:r w:rsidR="0096179E">
        <w:rPr>
          <w:rFonts w:ascii="Arial Narrow" w:hAnsi="Arial Narrow" w:cs="Arial"/>
          <w:sz w:val="24"/>
          <w:szCs w:val="24"/>
        </w:rPr>
        <w:t xml:space="preserve">cooperation </w:t>
      </w:r>
      <w:r>
        <w:rPr>
          <w:rFonts w:ascii="Arial Narrow" w:hAnsi="Arial Narrow" w:cs="Arial"/>
          <w:sz w:val="24"/>
          <w:szCs w:val="24"/>
        </w:rPr>
        <w:t xml:space="preserve">will insure </w:t>
      </w:r>
      <w:r w:rsidR="00C16CF3">
        <w:rPr>
          <w:rFonts w:ascii="Arial Narrow" w:hAnsi="Arial Narrow" w:cs="Arial"/>
          <w:sz w:val="24"/>
          <w:szCs w:val="24"/>
        </w:rPr>
        <w:t>sustainable Mongolian Mortgage Market development</w:t>
      </w:r>
      <w:r>
        <w:rPr>
          <w:rFonts w:ascii="Arial Narrow" w:hAnsi="Arial Narrow" w:cs="Arial"/>
          <w:sz w:val="24"/>
          <w:szCs w:val="24"/>
        </w:rPr>
        <w:t xml:space="preserve">. </w:t>
      </w:r>
      <w:r w:rsidR="00C16CF3">
        <w:rPr>
          <w:rFonts w:ascii="Arial Narrow" w:hAnsi="Arial Narrow" w:cs="Arial"/>
          <w:sz w:val="24"/>
          <w:szCs w:val="24"/>
        </w:rPr>
        <w:t xml:space="preserve"> </w:t>
      </w:r>
    </w:p>
    <w:p w:rsidR="005D11EF" w:rsidRDefault="005D11EF" w:rsidP="0085477B">
      <w:pPr>
        <w:spacing w:line="240" w:lineRule="auto"/>
        <w:jc w:val="both"/>
        <w:rPr>
          <w:rFonts w:ascii="Arial Narrow" w:hAnsi="Arial Narrow" w:cs="Arial"/>
          <w:sz w:val="24"/>
          <w:szCs w:val="24"/>
          <w:lang w:bidi="bo-CN"/>
        </w:rPr>
      </w:pPr>
    </w:p>
    <w:p w:rsidR="00C16CF3" w:rsidRDefault="00C16CF3" w:rsidP="0085477B">
      <w:pPr>
        <w:spacing w:line="240" w:lineRule="auto"/>
        <w:jc w:val="both"/>
        <w:rPr>
          <w:rFonts w:ascii="Arial Narrow" w:hAnsi="Arial Narrow" w:cs="Arial"/>
          <w:sz w:val="24"/>
          <w:szCs w:val="24"/>
          <w:lang w:bidi="bo-CN"/>
        </w:rPr>
      </w:pPr>
    </w:p>
    <w:p w:rsidR="00C16CF3" w:rsidRDefault="00C16CF3" w:rsidP="0085477B">
      <w:pPr>
        <w:spacing w:line="240" w:lineRule="auto"/>
        <w:jc w:val="both"/>
        <w:rPr>
          <w:rFonts w:ascii="Arial Narrow" w:hAnsi="Arial Narrow" w:cs="Arial"/>
          <w:sz w:val="24"/>
          <w:szCs w:val="24"/>
          <w:lang w:bidi="bo-CN"/>
        </w:rPr>
      </w:pPr>
    </w:p>
    <w:p w:rsidR="00C16CF3" w:rsidRDefault="00C16CF3" w:rsidP="0085477B">
      <w:pPr>
        <w:spacing w:line="240" w:lineRule="auto"/>
        <w:jc w:val="both"/>
        <w:rPr>
          <w:rFonts w:ascii="Arial Narrow" w:hAnsi="Arial Narrow" w:cs="Arial"/>
          <w:sz w:val="24"/>
          <w:szCs w:val="24"/>
          <w:lang w:bidi="bo-CN"/>
        </w:rPr>
      </w:pPr>
    </w:p>
    <w:p w:rsidR="00C16CF3" w:rsidRDefault="00C16CF3" w:rsidP="0085477B">
      <w:pPr>
        <w:spacing w:line="240" w:lineRule="auto"/>
        <w:jc w:val="both"/>
        <w:rPr>
          <w:rFonts w:ascii="Arial Narrow" w:hAnsi="Arial Narrow" w:cs="Arial"/>
          <w:sz w:val="24"/>
          <w:szCs w:val="24"/>
          <w:lang w:bidi="bo-CN"/>
        </w:rPr>
      </w:pPr>
    </w:p>
    <w:p w:rsidR="00C16CF3" w:rsidRDefault="00C16CF3" w:rsidP="0085477B">
      <w:pPr>
        <w:spacing w:line="240" w:lineRule="auto"/>
        <w:jc w:val="both"/>
        <w:rPr>
          <w:rFonts w:ascii="Arial Narrow" w:hAnsi="Arial Narrow" w:cs="Arial"/>
          <w:sz w:val="24"/>
          <w:szCs w:val="24"/>
          <w:lang w:bidi="bo-CN"/>
        </w:rPr>
      </w:pPr>
    </w:p>
    <w:p w:rsidR="00C16CF3" w:rsidRDefault="00C16CF3" w:rsidP="0085477B">
      <w:pPr>
        <w:spacing w:line="240" w:lineRule="auto"/>
        <w:jc w:val="both"/>
        <w:rPr>
          <w:rFonts w:ascii="Arial Narrow" w:hAnsi="Arial Narrow" w:cs="Arial"/>
          <w:sz w:val="24"/>
          <w:szCs w:val="24"/>
          <w:lang w:bidi="bo-CN"/>
        </w:rPr>
      </w:pPr>
    </w:p>
    <w:p w:rsidR="00C16CF3" w:rsidRDefault="00C16CF3" w:rsidP="0085477B">
      <w:pPr>
        <w:spacing w:line="240" w:lineRule="auto"/>
        <w:jc w:val="both"/>
        <w:rPr>
          <w:rFonts w:ascii="Arial Narrow" w:hAnsi="Arial Narrow" w:cs="Arial"/>
          <w:sz w:val="24"/>
          <w:szCs w:val="24"/>
          <w:lang w:bidi="bo-CN"/>
        </w:rPr>
      </w:pPr>
    </w:p>
    <w:p w:rsidR="00C16CF3" w:rsidRDefault="00C16CF3" w:rsidP="0085477B">
      <w:pPr>
        <w:spacing w:line="240" w:lineRule="auto"/>
        <w:jc w:val="both"/>
        <w:rPr>
          <w:rFonts w:ascii="Arial Narrow" w:hAnsi="Arial Narrow" w:cs="Arial"/>
          <w:sz w:val="24"/>
          <w:szCs w:val="24"/>
          <w:lang w:bidi="bo-CN"/>
        </w:rPr>
      </w:pPr>
    </w:p>
    <w:p w:rsidR="00C16CF3" w:rsidRPr="00AC6FB1" w:rsidRDefault="00C16CF3" w:rsidP="0085477B">
      <w:pPr>
        <w:spacing w:line="240" w:lineRule="auto"/>
        <w:jc w:val="both"/>
        <w:rPr>
          <w:rFonts w:ascii="Arial Narrow" w:hAnsi="Arial Narrow" w:cs="Arial"/>
          <w:sz w:val="24"/>
          <w:szCs w:val="24"/>
          <w:lang w:bidi="bo-CN"/>
        </w:rPr>
      </w:pPr>
    </w:p>
    <w:sectPr w:rsidR="00C16CF3" w:rsidRPr="00AC6FB1" w:rsidSect="00DF55F8">
      <w:headerReference w:type="default" r:id="rId16"/>
      <w:pgSz w:w="12240" w:h="15840"/>
      <w:pgMar w:top="1350" w:right="1440" w:bottom="900" w:left="126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F83" w:rsidRDefault="00D51F83" w:rsidP="00AC6FB1">
      <w:pPr>
        <w:spacing w:after="0" w:line="240" w:lineRule="auto"/>
      </w:pPr>
      <w:r>
        <w:separator/>
      </w:r>
    </w:p>
  </w:endnote>
  <w:endnote w:type="continuationSeparator" w:id="0">
    <w:p w:rsidR="00D51F83" w:rsidRDefault="00D51F83" w:rsidP="00AC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F83" w:rsidRDefault="00D51F83" w:rsidP="00AC6FB1">
      <w:pPr>
        <w:spacing w:after="0" w:line="240" w:lineRule="auto"/>
      </w:pPr>
      <w:r>
        <w:separator/>
      </w:r>
    </w:p>
  </w:footnote>
  <w:footnote w:type="continuationSeparator" w:id="0">
    <w:p w:rsidR="00D51F83" w:rsidRDefault="00D51F83" w:rsidP="00AC6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BAA" w:rsidRDefault="00712BAA" w:rsidP="008B530A">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3637607" cy="405114"/>
          <wp:effectExtent l="19050" t="0" r="943" b="0"/>
          <wp:docPr id="5" name="Picture 2" descr="D:\Mongolian Mortgage Corporation\MIK LOGO\MI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ongolian Mortgage Corporation\MIK LOGO\MIK Logo.jpg"/>
                  <pic:cNvPicPr>
                    <a:picLocks noChangeAspect="1" noChangeArrowheads="1"/>
                  </pic:cNvPicPr>
                </pic:nvPicPr>
                <pic:blipFill>
                  <a:blip r:embed="rId1"/>
                  <a:srcRect/>
                  <a:stretch>
                    <a:fillRect/>
                  </a:stretch>
                </pic:blipFill>
                <pic:spPr bwMode="auto">
                  <a:xfrm>
                    <a:off x="0" y="0"/>
                    <a:ext cx="3663235" cy="407968"/>
                  </a:xfrm>
                  <a:prstGeom prst="rect">
                    <a:avLst/>
                  </a:prstGeom>
                  <a:noFill/>
                  <a:ln w="9525">
                    <a:noFill/>
                    <a:miter lim="800000"/>
                    <a:headEnd/>
                    <a:tailEnd/>
                  </a:ln>
                </pic:spPr>
              </pic:pic>
            </a:graphicData>
          </a:graphic>
        </wp:inline>
      </w:drawing>
    </w:r>
  </w:p>
  <w:p w:rsidR="00AC6FB1" w:rsidRDefault="00AC6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2464"/>
    <w:multiLevelType w:val="hybridMultilevel"/>
    <w:tmpl w:val="B20AD6D8"/>
    <w:lvl w:ilvl="0" w:tplc="97EEEDA6">
      <w:start w:val="1"/>
      <w:numFmt w:val="bullet"/>
      <w:lvlText w:val=""/>
      <w:lvlJc w:val="left"/>
      <w:pPr>
        <w:tabs>
          <w:tab w:val="num" w:pos="720"/>
        </w:tabs>
        <w:ind w:left="720" w:hanging="360"/>
      </w:pPr>
      <w:rPr>
        <w:rFonts w:ascii="Wingdings 2" w:hAnsi="Wingdings 2" w:hint="default"/>
      </w:rPr>
    </w:lvl>
    <w:lvl w:ilvl="1" w:tplc="96F81224">
      <w:start w:val="1"/>
      <w:numFmt w:val="bullet"/>
      <w:lvlText w:val=""/>
      <w:lvlJc w:val="left"/>
      <w:pPr>
        <w:tabs>
          <w:tab w:val="num" w:pos="1440"/>
        </w:tabs>
        <w:ind w:left="1440" w:hanging="360"/>
      </w:pPr>
      <w:rPr>
        <w:rFonts w:ascii="Wingdings 2" w:hAnsi="Wingdings 2" w:hint="default"/>
      </w:rPr>
    </w:lvl>
    <w:lvl w:ilvl="2" w:tplc="73D66AF0" w:tentative="1">
      <w:start w:val="1"/>
      <w:numFmt w:val="bullet"/>
      <w:lvlText w:val=""/>
      <w:lvlJc w:val="left"/>
      <w:pPr>
        <w:tabs>
          <w:tab w:val="num" w:pos="2160"/>
        </w:tabs>
        <w:ind w:left="2160" w:hanging="360"/>
      </w:pPr>
      <w:rPr>
        <w:rFonts w:ascii="Wingdings 2" w:hAnsi="Wingdings 2" w:hint="default"/>
      </w:rPr>
    </w:lvl>
    <w:lvl w:ilvl="3" w:tplc="167E3CE0" w:tentative="1">
      <w:start w:val="1"/>
      <w:numFmt w:val="bullet"/>
      <w:lvlText w:val=""/>
      <w:lvlJc w:val="left"/>
      <w:pPr>
        <w:tabs>
          <w:tab w:val="num" w:pos="2880"/>
        </w:tabs>
        <w:ind w:left="2880" w:hanging="360"/>
      </w:pPr>
      <w:rPr>
        <w:rFonts w:ascii="Wingdings 2" w:hAnsi="Wingdings 2" w:hint="default"/>
      </w:rPr>
    </w:lvl>
    <w:lvl w:ilvl="4" w:tplc="F07A1626" w:tentative="1">
      <w:start w:val="1"/>
      <w:numFmt w:val="bullet"/>
      <w:lvlText w:val=""/>
      <w:lvlJc w:val="left"/>
      <w:pPr>
        <w:tabs>
          <w:tab w:val="num" w:pos="3600"/>
        </w:tabs>
        <w:ind w:left="3600" w:hanging="360"/>
      </w:pPr>
      <w:rPr>
        <w:rFonts w:ascii="Wingdings 2" w:hAnsi="Wingdings 2" w:hint="default"/>
      </w:rPr>
    </w:lvl>
    <w:lvl w:ilvl="5" w:tplc="184093FC" w:tentative="1">
      <w:start w:val="1"/>
      <w:numFmt w:val="bullet"/>
      <w:lvlText w:val=""/>
      <w:lvlJc w:val="left"/>
      <w:pPr>
        <w:tabs>
          <w:tab w:val="num" w:pos="4320"/>
        </w:tabs>
        <w:ind w:left="4320" w:hanging="360"/>
      </w:pPr>
      <w:rPr>
        <w:rFonts w:ascii="Wingdings 2" w:hAnsi="Wingdings 2" w:hint="default"/>
      </w:rPr>
    </w:lvl>
    <w:lvl w:ilvl="6" w:tplc="BE381AB4" w:tentative="1">
      <w:start w:val="1"/>
      <w:numFmt w:val="bullet"/>
      <w:lvlText w:val=""/>
      <w:lvlJc w:val="left"/>
      <w:pPr>
        <w:tabs>
          <w:tab w:val="num" w:pos="5040"/>
        </w:tabs>
        <w:ind w:left="5040" w:hanging="360"/>
      </w:pPr>
      <w:rPr>
        <w:rFonts w:ascii="Wingdings 2" w:hAnsi="Wingdings 2" w:hint="default"/>
      </w:rPr>
    </w:lvl>
    <w:lvl w:ilvl="7" w:tplc="D0CCAA84" w:tentative="1">
      <w:start w:val="1"/>
      <w:numFmt w:val="bullet"/>
      <w:lvlText w:val=""/>
      <w:lvlJc w:val="left"/>
      <w:pPr>
        <w:tabs>
          <w:tab w:val="num" w:pos="5760"/>
        </w:tabs>
        <w:ind w:left="5760" w:hanging="360"/>
      </w:pPr>
      <w:rPr>
        <w:rFonts w:ascii="Wingdings 2" w:hAnsi="Wingdings 2" w:hint="default"/>
      </w:rPr>
    </w:lvl>
    <w:lvl w:ilvl="8" w:tplc="3B8A9462" w:tentative="1">
      <w:start w:val="1"/>
      <w:numFmt w:val="bullet"/>
      <w:lvlText w:val=""/>
      <w:lvlJc w:val="left"/>
      <w:pPr>
        <w:tabs>
          <w:tab w:val="num" w:pos="6480"/>
        </w:tabs>
        <w:ind w:left="6480" w:hanging="360"/>
      </w:pPr>
      <w:rPr>
        <w:rFonts w:ascii="Wingdings 2" w:hAnsi="Wingdings 2" w:hint="default"/>
      </w:rPr>
    </w:lvl>
  </w:abstractNum>
  <w:abstractNum w:abstractNumId="1">
    <w:nsid w:val="22D17241"/>
    <w:multiLevelType w:val="multilevel"/>
    <w:tmpl w:val="09E0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1A5022"/>
    <w:multiLevelType w:val="hybridMultilevel"/>
    <w:tmpl w:val="FA94A3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D635A6"/>
    <w:multiLevelType w:val="multilevel"/>
    <w:tmpl w:val="AC44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657C91"/>
    <w:multiLevelType w:val="hybridMultilevel"/>
    <w:tmpl w:val="DA36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93552B"/>
    <w:multiLevelType w:val="multilevel"/>
    <w:tmpl w:val="0F92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A426C1E"/>
    <w:multiLevelType w:val="hybridMultilevel"/>
    <w:tmpl w:val="EA184124"/>
    <w:lvl w:ilvl="0" w:tplc="8F46D7F8">
      <w:numFmt w:val="bullet"/>
      <w:lvlText w:val="•"/>
      <w:lvlJc w:val="left"/>
      <w:pPr>
        <w:tabs>
          <w:tab w:val="num" w:pos="432"/>
        </w:tabs>
        <w:ind w:left="432" w:hanging="360"/>
      </w:pPr>
      <w:rPr>
        <w:rFonts w:ascii="Arial" w:hAnsi="Arial"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7EB11EE2"/>
    <w:multiLevelType w:val="hybridMultilevel"/>
    <w:tmpl w:val="EB9E9674"/>
    <w:lvl w:ilvl="0" w:tplc="4C0CFCF4">
      <w:start w:val="1"/>
      <w:numFmt w:val="bullet"/>
      <w:lvlText w:val="•"/>
      <w:lvlJc w:val="left"/>
      <w:pPr>
        <w:tabs>
          <w:tab w:val="num" w:pos="720"/>
        </w:tabs>
        <w:ind w:left="720" w:hanging="360"/>
      </w:pPr>
      <w:rPr>
        <w:rFonts w:ascii="Arial" w:hAnsi="Arial" w:hint="default"/>
      </w:rPr>
    </w:lvl>
    <w:lvl w:ilvl="1" w:tplc="A3DCB1B6" w:tentative="1">
      <w:start w:val="1"/>
      <w:numFmt w:val="bullet"/>
      <w:lvlText w:val="•"/>
      <w:lvlJc w:val="left"/>
      <w:pPr>
        <w:tabs>
          <w:tab w:val="num" w:pos="1440"/>
        </w:tabs>
        <w:ind w:left="1440" w:hanging="360"/>
      </w:pPr>
      <w:rPr>
        <w:rFonts w:ascii="Arial" w:hAnsi="Arial" w:hint="default"/>
      </w:rPr>
    </w:lvl>
    <w:lvl w:ilvl="2" w:tplc="1FCC5B64" w:tentative="1">
      <w:start w:val="1"/>
      <w:numFmt w:val="bullet"/>
      <w:lvlText w:val="•"/>
      <w:lvlJc w:val="left"/>
      <w:pPr>
        <w:tabs>
          <w:tab w:val="num" w:pos="2160"/>
        </w:tabs>
        <w:ind w:left="2160" w:hanging="360"/>
      </w:pPr>
      <w:rPr>
        <w:rFonts w:ascii="Arial" w:hAnsi="Arial" w:hint="default"/>
      </w:rPr>
    </w:lvl>
    <w:lvl w:ilvl="3" w:tplc="7770871C" w:tentative="1">
      <w:start w:val="1"/>
      <w:numFmt w:val="bullet"/>
      <w:lvlText w:val="•"/>
      <w:lvlJc w:val="left"/>
      <w:pPr>
        <w:tabs>
          <w:tab w:val="num" w:pos="2880"/>
        </w:tabs>
        <w:ind w:left="2880" w:hanging="360"/>
      </w:pPr>
      <w:rPr>
        <w:rFonts w:ascii="Arial" w:hAnsi="Arial" w:hint="default"/>
      </w:rPr>
    </w:lvl>
    <w:lvl w:ilvl="4" w:tplc="CEC634FC" w:tentative="1">
      <w:start w:val="1"/>
      <w:numFmt w:val="bullet"/>
      <w:lvlText w:val="•"/>
      <w:lvlJc w:val="left"/>
      <w:pPr>
        <w:tabs>
          <w:tab w:val="num" w:pos="3600"/>
        </w:tabs>
        <w:ind w:left="3600" w:hanging="360"/>
      </w:pPr>
      <w:rPr>
        <w:rFonts w:ascii="Arial" w:hAnsi="Arial" w:hint="default"/>
      </w:rPr>
    </w:lvl>
    <w:lvl w:ilvl="5" w:tplc="1C8A407C" w:tentative="1">
      <w:start w:val="1"/>
      <w:numFmt w:val="bullet"/>
      <w:lvlText w:val="•"/>
      <w:lvlJc w:val="left"/>
      <w:pPr>
        <w:tabs>
          <w:tab w:val="num" w:pos="4320"/>
        </w:tabs>
        <w:ind w:left="4320" w:hanging="360"/>
      </w:pPr>
      <w:rPr>
        <w:rFonts w:ascii="Arial" w:hAnsi="Arial" w:hint="default"/>
      </w:rPr>
    </w:lvl>
    <w:lvl w:ilvl="6" w:tplc="4F6EB7E4" w:tentative="1">
      <w:start w:val="1"/>
      <w:numFmt w:val="bullet"/>
      <w:lvlText w:val="•"/>
      <w:lvlJc w:val="left"/>
      <w:pPr>
        <w:tabs>
          <w:tab w:val="num" w:pos="5040"/>
        </w:tabs>
        <w:ind w:left="5040" w:hanging="360"/>
      </w:pPr>
      <w:rPr>
        <w:rFonts w:ascii="Arial" w:hAnsi="Arial" w:hint="default"/>
      </w:rPr>
    </w:lvl>
    <w:lvl w:ilvl="7" w:tplc="22EE61F0" w:tentative="1">
      <w:start w:val="1"/>
      <w:numFmt w:val="bullet"/>
      <w:lvlText w:val="•"/>
      <w:lvlJc w:val="left"/>
      <w:pPr>
        <w:tabs>
          <w:tab w:val="num" w:pos="5760"/>
        </w:tabs>
        <w:ind w:left="5760" w:hanging="360"/>
      </w:pPr>
      <w:rPr>
        <w:rFonts w:ascii="Arial" w:hAnsi="Arial" w:hint="default"/>
      </w:rPr>
    </w:lvl>
    <w:lvl w:ilvl="8" w:tplc="B782816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6"/>
  </w:num>
  <w:num w:numId="4">
    <w:abstractNumId w:val="3"/>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920B0"/>
    <w:rsid w:val="00024024"/>
    <w:rsid w:val="00041FA5"/>
    <w:rsid w:val="00052FEC"/>
    <w:rsid w:val="00060048"/>
    <w:rsid w:val="00076F7E"/>
    <w:rsid w:val="00081F37"/>
    <w:rsid w:val="00083D04"/>
    <w:rsid w:val="0008691E"/>
    <w:rsid w:val="000A35F0"/>
    <w:rsid w:val="000A4601"/>
    <w:rsid w:val="000B025E"/>
    <w:rsid w:val="000C15AA"/>
    <w:rsid w:val="000C4FDE"/>
    <w:rsid w:val="000F174A"/>
    <w:rsid w:val="000F4E14"/>
    <w:rsid w:val="00102156"/>
    <w:rsid w:val="001349D3"/>
    <w:rsid w:val="001C61E1"/>
    <w:rsid w:val="00230308"/>
    <w:rsid w:val="00280F7B"/>
    <w:rsid w:val="0029561E"/>
    <w:rsid w:val="002B512B"/>
    <w:rsid w:val="002C767F"/>
    <w:rsid w:val="002F01EE"/>
    <w:rsid w:val="00315827"/>
    <w:rsid w:val="00316FC6"/>
    <w:rsid w:val="00322CB1"/>
    <w:rsid w:val="00361CA8"/>
    <w:rsid w:val="00380844"/>
    <w:rsid w:val="00392843"/>
    <w:rsid w:val="003931ED"/>
    <w:rsid w:val="003C43FB"/>
    <w:rsid w:val="003F365E"/>
    <w:rsid w:val="00441C60"/>
    <w:rsid w:val="00445E15"/>
    <w:rsid w:val="00483D4D"/>
    <w:rsid w:val="00491CE8"/>
    <w:rsid w:val="00497FC2"/>
    <w:rsid w:val="004C6989"/>
    <w:rsid w:val="004D1A57"/>
    <w:rsid w:val="004F2E75"/>
    <w:rsid w:val="005022C6"/>
    <w:rsid w:val="00516382"/>
    <w:rsid w:val="00560642"/>
    <w:rsid w:val="00566502"/>
    <w:rsid w:val="00585D39"/>
    <w:rsid w:val="00587F1D"/>
    <w:rsid w:val="005920B0"/>
    <w:rsid w:val="00596A3D"/>
    <w:rsid w:val="005D11EF"/>
    <w:rsid w:val="005D6FDD"/>
    <w:rsid w:val="005F5627"/>
    <w:rsid w:val="00665CEA"/>
    <w:rsid w:val="00682223"/>
    <w:rsid w:val="006A5C00"/>
    <w:rsid w:val="006C6BF6"/>
    <w:rsid w:val="00712BAA"/>
    <w:rsid w:val="00724B4B"/>
    <w:rsid w:val="007361E5"/>
    <w:rsid w:val="007455CD"/>
    <w:rsid w:val="007A0825"/>
    <w:rsid w:val="007C0B6B"/>
    <w:rsid w:val="007C55AD"/>
    <w:rsid w:val="007D011E"/>
    <w:rsid w:val="007D0C47"/>
    <w:rsid w:val="007F43D2"/>
    <w:rsid w:val="008152F4"/>
    <w:rsid w:val="008233A5"/>
    <w:rsid w:val="00824082"/>
    <w:rsid w:val="0085477B"/>
    <w:rsid w:val="00860C65"/>
    <w:rsid w:val="008810B0"/>
    <w:rsid w:val="008B530A"/>
    <w:rsid w:val="008F292F"/>
    <w:rsid w:val="008F5F8D"/>
    <w:rsid w:val="00901048"/>
    <w:rsid w:val="00922546"/>
    <w:rsid w:val="00942389"/>
    <w:rsid w:val="009603C2"/>
    <w:rsid w:val="0096179E"/>
    <w:rsid w:val="009B20BB"/>
    <w:rsid w:val="009D5C2E"/>
    <w:rsid w:val="00A22F27"/>
    <w:rsid w:val="00A30D88"/>
    <w:rsid w:val="00A411B3"/>
    <w:rsid w:val="00A50BE3"/>
    <w:rsid w:val="00A70126"/>
    <w:rsid w:val="00A74F93"/>
    <w:rsid w:val="00A80014"/>
    <w:rsid w:val="00AC6FB1"/>
    <w:rsid w:val="00AE0EC0"/>
    <w:rsid w:val="00B05998"/>
    <w:rsid w:val="00B648E3"/>
    <w:rsid w:val="00B64A2F"/>
    <w:rsid w:val="00B656AB"/>
    <w:rsid w:val="00B76687"/>
    <w:rsid w:val="00BA69B7"/>
    <w:rsid w:val="00BB3110"/>
    <w:rsid w:val="00BB57CC"/>
    <w:rsid w:val="00BC59B8"/>
    <w:rsid w:val="00BC7AB6"/>
    <w:rsid w:val="00C16CF3"/>
    <w:rsid w:val="00C569C1"/>
    <w:rsid w:val="00CC1015"/>
    <w:rsid w:val="00CF3B03"/>
    <w:rsid w:val="00D07ACE"/>
    <w:rsid w:val="00D51F83"/>
    <w:rsid w:val="00D74064"/>
    <w:rsid w:val="00D74F8E"/>
    <w:rsid w:val="00D853AD"/>
    <w:rsid w:val="00D94171"/>
    <w:rsid w:val="00DD2A12"/>
    <w:rsid w:val="00DD6D19"/>
    <w:rsid w:val="00DF30C8"/>
    <w:rsid w:val="00DF35BB"/>
    <w:rsid w:val="00DF4D2D"/>
    <w:rsid w:val="00DF55F8"/>
    <w:rsid w:val="00E1378F"/>
    <w:rsid w:val="00E25BEC"/>
    <w:rsid w:val="00E3604A"/>
    <w:rsid w:val="00E72E0D"/>
    <w:rsid w:val="00EB720F"/>
    <w:rsid w:val="00F060FF"/>
    <w:rsid w:val="00F14DFE"/>
    <w:rsid w:val="00F42ED0"/>
    <w:rsid w:val="00F66176"/>
    <w:rsid w:val="00F74CC2"/>
    <w:rsid w:val="00F75531"/>
    <w:rsid w:val="00F76F72"/>
    <w:rsid w:val="00F9255B"/>
    <w:rsid w:val="00FC0C8A"/>
    <w:rsid w:val="00FD23F9"/>
    <w:rsid w:val="00FF1A0F"/>
    <w:rsid w:val="00FF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0B0"/>
  </w:style>
  <w:style w:type="paragraph" w:styleId="Heading1">
    <w:name w:val="heading 1"/>
    <w:basedOn w:val="Normal"/>
    <w:next w:val="Normal"/>
    <w:link w:val="Heading1Char"/>
    <w:qFormat/>
    <w:rsid w:val="007361E5"/>
    <w:pPr>
      <w:keepNext/>
      <w:spacing w:after="0" w:line="240" w:lineRule="auto"/>
      <w:jc w:val="both"/>
      <w:outlineLvl w:val="0"/>
    </w:pPr>
    <w:rPr>
      <w:rFonts w:ascii="Arial" w:eastAsia="Times New Roman" w:hAnsi="Arial"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0B0"/>
    <w:pPr>
      <w:ind w:left="720"/>
      <w:contextualSpacing/>
    </w:pPr>
  </w:style>
  <w:style w:type="paragraph" w:styleId="BodyText">
    <w:name w:val="Body Text"/>
    <w:basedOn w:val="Normal"/>
    <w:link w:val="BodyTextChar"/>
    <w:rsid w:val="007361E5"/>
    <w:pPr>
      <w:spacing w:after="0" w:line="240" w:lineRule="auto"/>
    </w:pPr>
    <w:rPr>
      <w:rFonts w:ascii="Arial" w:eastAsia="Times" w:hAnsi="Arial" w:cs="Times New Roman"/>
      <w:szCs w:val="20"/>
    </w:rPr>
  </w:style>
  <w:style w:type="character" w:customStyle="1" w:styleId="BodyTextChar">
    <w:name w:val="Body Text Char"/>
    <w:basedOn w:val="DefaultParagraphFont"/>
    <w:link w:val="BodyText"/>
    <w:rsid w:val="007361E5"/>
    <w:rPr>
      <w:rFonts w:ascii="Arial" w:eastAsia="Times" w:hAnsi="Arial" w:cs="Times New Roman"/>
      <w:szCs w:val="20"/>
    </w:rPr>
  </w:style>
  <w:style w:type="character" w:customStyle="1" w:styleId="Heading1Char">
    <w:name w:val="Heading 1 Char"/>
    <w:basedOn w:val="DefaultParagraphFont"/>
    <w:link w:val="Heading1"/>
    <w:rsid w:val="007361E5"/>
    <w:rPr>
      <w:rFonts w:ascii="Arial" w:eastAsia="Times New Roman" w:hAnsi="Arial" w:cs="Times New Roman"/>
      <w:b/>
      <w:bCs/>
      <w:szCs w:val="24"/>
    </w:rPr>
  </w:style>
  <w:style w:type="paragraph" w:styleId="BodyText2">
    <w:name w:val="Body Text 2"/>
    <w:basedOn w:val="Normal"/>
    <w:link w:val="BodyText2Char"/>
    <w:rsid w:val="007361E5"/>
    <w:pPr>
      <w:spacing w:after="120" w:line="480" w:lineRule="auto"/>
    </w:pPr>
    <w:rPr>
      <w:rFonts w:ascii="Times New Roman" w:eastAsia="Times New Roman" w:hAnsi="Times New Roman" w:cs="Times New Roman"/>
      <w:sz w:val="24"/>
      <w:szCs w:val="24"/>
      <w:lang w:eastAsia="ru-RU"/>
    </w:rPr>
  </w:style>
  <w:style w:type="character" w:customStyle="1" w:styleId="BodyText2Char">
    <w:name w:val="Body Text 2 Char"/>
    <w:basedOn w:val="DefaultParagraphFont"/>
    <w:link w:val="BodyText2"/>
    <w:rsid w:val="007361E5"/>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2C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67F"/>
    <w:rPr>
      <w:rFonts w:ascii="Tahoma" w:hAnsi="Tahoma" w:cs="Tahoma"/>
      <w:sz w:val="16"/>
      <w:szCs w:val="16"/>
    </w:rPr>
  </w:style>
  <w:style w:type="paragraph" w:styleId="Header">
    <w:name w:val="header"/>
    <w:basedOn w:val="Normal"/>
    <w:link w:val="HeaderChar"/>
    <w:uiPriority w:val="99"/>
    <w:semiHidden/>
    <w:unhideWhenUsed/>
    <w:rsid w:val="00AC6F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6FB1"/>
  </w:style>
  <w:style w:type="paragraph" w:styleId="Footer">
    <w:name w:val="footer"/>
    <w:basedOn w:val="Normal"/>
    <w:link w:val="FooterChar"/>
    <w:uiPriority w:val="99"/>
    <w:semiHidden/>
    <w:unhideWhenUsed/>
    <w:rsid w:val="00AC6F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6FB1"/>
  </w:style>
  <w:style w:type="paragraph" w:styleId="NoSpacing">
    <w:name w:val="No Spacing"/>
    <w:link w:val="NoSpacingChar"/>
    <w:uiPriority w:val="1"/>
    <w:qFormat/>
    <w:rsid w:val="00AC6FB1"/>
    <w:pPr>
      <w:spacing w:after="0" w:line="240" w:lineRule="auto"/>
    </w:pPr>
    <w:rPr>
      <w:rFonts w:eastAsiaTheme="minorEastAsia"/>
    </w:rPr>
  </w:style>
  <w:style w:type="character" w:customStyle="1" w:styleId="NoSpacingChar">
    <w:name w:val="No Spacing Char"/>
    <w:basedOn w:val="DefaultParagraphFont"/>
    <w:link w:val="NoSpacing"/>
    <w:uiPriority w:val="1"/>
    <w:rsid w:val="00AC6FB1"/>
    <w:rPr>
      <w:rFonts w:eastAsiaTheme="minorEastAsia"/>
    </w:rPr>
  </w:style>
  <w:style w:type="table" w:styleId="LightShading">
    <w:name w:val="Light Shading"/>
    <w:basedOn w:val="TableNormal"/>
    <w:uiPriority w:val="60"/>
    <w:rsid w:val="00F74C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D9417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EndnoteText">
    <w:name w:val="endnote text"/>
    <w:basedOn w:val="Normal"/>
    <w:link w:val="EndnoteTextChar"/>
    <w:uiPriority w:val="99"/>
    <w:semiHidden/>
    <w:unhideWhenUsed/>
    <w:rsid w:val="00DF55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55F8"/>
    <w:rPr>
      <w:sz w:val="20"/>
      <w:szCs w:val="20"/>
    </w:rPr>
  </w:style>
  <w:style w:type="character" w:styleId="EndnoteReference">
    <w:name w:val="endnote reference"/>
    <w:basedOn w:val="DefaultParagraphFont"/>
    <w:uiPriority w:val="99"/>
    <w:semiHidden/>
    <w:unhideWhenUsed/>
    <w:rsid w:val="00DF55F8"/>
    <w:rPr>
      <w:vertAlign w:val="superscript"/>
    </w:rPr>
  </w:style>
  <w:style w:type="table" w:styleId="MediumShading1-Accent2">
    <w:name w:val="Medium Shading 1 Accent 2"/>
    <w:basedOn w:val="TableNormal"/>
    <w:uiPriority w:val="63"/>
    <w:rsid w:val="00DF55F8"/>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Hyperlink">
    <w:name w:val="Hyperlink"/>
    <w:basedOn w:val="DefaultParagraphFont"/>
    <w:uiPriority w:val="99"/>
    <w:semiHidden/>
    <w:unhideWhenUsed/>
    <w:rsid w:val="005D11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34146">
      <w:bodyDiv w:val="1"/>
      <w:marLeft w:val="0"/>
      <w:marRight w:val="0"/>
      <w:marTop w:val="0"/>
      <w:marBottom w:val="0"/>
      <w:divBdr>
        <w:top w:val="none" w:sz="0" w:space="0" w:color="auto"/>
        <w:left w:val="none" w:sz="0" w:space="0" w:color="auto"/>
        <w:bottom w:val="none" w:sz="0" w:space="0" w:color="auto"/>
        <w:right w:val="none" w:sz="0" w:space="0" w:color="auto"/>
      </w:divBdr>
      <w:divsChild>
        <w:div w:id="283392709">
          <w:marLeft w:val="1008"/>
          <w:marRight w:val="0"/>
          <w:marTop w:val="115"/>
          <w:marBottom w:val="0"/>
          <w:divBdr>
            <w:top w:val="none" w:sz="0" w:space="0" w:color="auto"/>
            <w:left w:val="none" w:sz="0" w:space="0" w:color="auto"/>
            <w:bottom w:val="none" w:sz="0" w:space="0" w:color="auto"/>
            <w:right w:val="none" w:sz="0" w:space="0" w:color="auto"/>
          </w:divBdr>
        </w:div>
        <w:div w:id="627245073">
          <w:marLeft w:val="1008"/>
          <w:marRight w:val="0"/>
          <w:marTop w:val="115"/>
          <w:marBottom w:val="0"/>
          <w:divBdr>
            <w:top w:val="none" w:sz="0" w:space="0" w:color="auto"/>
            <w:left w:val="none" w:sz="0" w:space="0" w:color="auto"/>
            <w:bottom w:val="none" w:sz="0" w:space="0" w:color="auto"/>
            <w:right w:val="none" w:sz="0" w:space="0" w:color="auto"/>
          </w:divBdr>
        </w:div>
        <w:div w:id="147790942">
          <w:marLeft w:val="1008"/>
          <w:marRight w:val="0"/>
          <w:marTop w:val="115"/>
          <w:marBottom w:val="0"/>
          <w:divBdr>
            <w:top w:val="none" w:sz="0" w:space="0" w:color="auto"/>
            <w:left w:val="none" w:sz="0" w:space="0" w:color="auto"/>
            <w:bottom w:val="none" w:sz="0" w:space="0" w:color="auto"/>
            <w:right w:val="none" w:sz="0" w:space="0" w:color="auto"/>
          </w:divBdr>
        </w:div>
        <w:div w:id="1424111668">
          <w:marLeft w:val="1008"/>
          <w:marRight w:val="0"/>
          <w:marTop w:val="115"/>
          <w:marBottom w:val="0"/>
          <w:divBdr>
            <w:top w:val="none" w:sz="0" w:space="0" w:color="auto"/>
            <w:left w:val="none" w:sz="0" w:space="0" w:color="auto"/>
            <w:bottom w:val="none" w:sz="0" w:space="0" w:color="auto"/>
            <w:right w:val="none" w:sz="0" w:space="0" w:color="auto"/>
          </w:divBdr>
        </w:div>
        <w:div w:id="1083454437">
          <w:marLeft w:val="1008"/>
          <w:marRight w:val="0"/>
          <w:marTop w:val="115"/>
          <w:marBottom w:val="0"/>
          <w:divBdr>
            <w:top w:val="none" w:sz="0" w:space="0" w:color="auto"/>
            <w:left w:val="none" w:sz="0" w:space="0" w:color="auto"/>
            <w:bottom w:val="none" w:sz="0" w:space="0" w:color="auto"/>
            <w:right w:val="none" w:sz="0" w:space="0" w:color="auto"/>
          </w:divBdr>
        </w:div>
        <w:div w:id="1774395328">
          <w:marLeft w:val="1008"/>
          <w:marRight w:val="0"/>
          <w:marTop w:val="115"/>
          <w:marBottom w:val="0"/>
          <w:divBdr>
            <w:top w:val="none" w:sz="0" w:space="0" w:color="auto"/>
            <w:left w:val="none" w:sz="0" w:space="0" w:color="auto"/>
            <w:bottom w:val="none" w:sz="0" w:space="0" w:color="auto"/>
            <w:right w:val="none" w:sz="0" w:space="0" w:color="auto"/>
          </w:divBdr>
        </w:div>
        <w:div w:id="426970490">
          <w:marLeft w:val="1008"/>
          <w:marRight w:val="0"/>
          <w:marTop w:val="115"/>
          <w:marBottom w:val="0"/>
          <w:divBdr>
            <w:top w:val="none" w:sz="0" w:space="0" w:color="auto"/>
            <w:left w:val="none" w:sz="0" w:space="0" w:color="auto"/>
            <w:bottom w:val="none" w:sz="0" w:space="0" w:color="auto"/>
            <w:right w:val="none" w:sz="0" w:space="0" w:color="auto"/>
          </w:divBdr>
        </w:div>
      </w:divsChild>
    </w:div>
    <w:div w:id="561716185">
      <w:bodyDiv w:val="1"/>
      <w:marLeft w:val="0"/>
      <w:marRight w:val="0"/>
      <w:marTop w:val="0"/>
      <w:marBottom w:val="0"/>
      <w:divBdr>
        <w:top w:val="none" w:sz="0" w:space="0" w:color="auto"/>
        <w:left w:val="none" w:sz="0" w:space="0" w:color="auto"/>
        <w:bottom w:val="none" w:sz="0" w:space="0" w:color="auto"/>
        <w:right w:val="none" w:sz="0" w:space="0" w:color="auto"/>
      </w:divBdr>
    </w:div>
    <w:div w:id="856890233">
      <w:bodyDiv w:val="1"/>
      <w:marLeft w:val="0"/>
      <w:marRight w:val="0"/>
      <w:marTop w:val="0"/>
      <w:marBottom w:val="0"/>
      <w:divBdr>
        <w:top w:val="none" w:sz="0" w:space="0" w:color="auto"/>
        <w:left w:val="none" w:sz="0" w:space="0" w:color="auto"/>
        <w:bottom w:val="none" w:sz="0" w:space="0" w:color="auto"/>
        <w:right w:val="none" w:sz="0" w:space="0" w:color="auto"/>
      </w:divBdr>
    </w:div>
    <w:div w:id="1232614087">
      <w:bodyDiv w:val="1"/>
      <w:marLeft w:val="0"/>
      <w:marRight w:val="0"/>
      <w:marTop w:val="0"/>
      <w:marBottom w:val="0"/>
      <w:divBdr>
        <w:top w:val="none" w:sz="0" w:space="0" w:color="auto"/>
        <w:left w:val="none" w:sz="0" w:space="0" w:color="auto"/>
        <w:bottom w:val="none" w:sz="0" w:space="0" w:color="auto"/>
        <w:right w:val="none" w:sz="0" w:space="0" w:color="auto"/>
      </w:divBdr>
      <w:divsChild>
        <w:div w:id="1737892661">
          <w:marLeft w:val="547"/>
          <w:marRight w:val="0"/>
          <w:marTop w:val="86"/>
          <w:marBottom w:val="0"/>
          <w:divBdr>
            <w:top w:val="none" w:sz="0" w:space="0" w:color="auto"/>
            <w:left w:val="none" w:sz="0" w:space="0" w:color="auto"/>
            <w:bottom w:val="none" w:sz="0" w:space="0" w:color="auto"/>
            <w:right w:val="none" w:sz="0" w:space="0" w:color="auto"/>
          </w:divBdr>
        </w:div>
      </w:divsChild>
    </w:div>
    <w:div w:id="1325662221">
      <w:bodyDiv w:val="1"/>
      <w:marLeft w:val="0"/>
      <w:marRight w:val="0"/>
      <w:marTop w:val="0"/>
      <w:marBottom w:val="0"/>
      <w:divBdr>
        <w:top w:val="none" w:sz="0" w:space="0" w:color="auto"/>
        <w:left w:val="none" w:sz="0" w:space="0" w:color="auto"/>
        <w:bottom w:val="none" w:sz="0" w:space="0" w:color="auto"/>
        <w:right w:val="none" w:sz="0" w:space="0" w:color="auto"/>
      </w:divBdr>
    </w:div>
    <w:div w:id="1549147100">
      <w:bodyDiv w:val="1"/>
      <w:marLeft w:val="0"/>
      <w:marRight w:val="0"/>
      <w:marTop w:val="0"/>
      <w:marBottom w:val="0"/>
      <w:divBdr>
        <w:top w:val="none" w:sz="0" w:space="0" w:color="auto"/>
        <w:left w:val="none" w:sz="0" w:space="0" w:color="auto"/>
        <w:bottom w:val="none" w:sz="0" w:space="0" w:color="auto"/>
        <w:right w:val="none" w:sz="0" w:space="0" w:color="auto"/>
      </w:divBdr>
    </w:div>
    <w:div w:id="1574777835">
      <w:bodyDiv w:val="1"/>
      <w:marLeft w:val="0"/>
      <w:marRight w:val="0"/>
      <w:marTop w:val="0"/>
      <w:marBottom w:val="0"/>
      <w:divBdr>
        <w:top w:val="none" w:sz="0" w:space="0" w:color="auto"/>
        <w:left w:val="none" w:sz="0" w:space="0" w:color="auto"/>
        <w:bottom w:val="none" w:sz="0" w:space="0" w:color="auto"/>
        <w:right w:val="none" w:sz="0" w:space="0" w:color="auto"/>
      </w:divBdr>
    </w:div>
    <w:div w:id="1583639444">
      <w:bodyDiv w:val="1"/>
      <w:marLeft w:val="0"/>
      <w:marRight w:val="0"/>
      <w:marTop w:val="0"/>
      <w:marBottom w:val="0"/>
      <w:divBdr>
        <w:top w:val="none" w:sz="0" w:space="0" w:color="auto"/>
        <w:left w:val="none" w:sz="0" w:space="0" w:color="auto"/>
        <w:bottom w:val="none" w:sz="0" w:space="0" w:color="auto"/>
        <w:right w:val="none" w:sz="0" w:space="0" w:color="auto"/>
      </w:divBdr>
    </w:div>
    <w:div w:id="163455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forchildren.info/images/ger.jpg" TargetMode="External"/><Relationship Id="rId5" Type="http://schemas.microsoft.com/office/2007/relationships/stylesWithEffects" Target="stylesWithEffects.xml"/><Relationship Id="rId15" Type="http://schemas.openxmlformats.org/officeDocument/2006/relationships/chart" Target="charts/chart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onon.MIK.000\Desktop\ERINA\Copy%20of%20Market%20Info%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non.MIK.000\AppData\Local\Microsoft\Windows\Temporary%20Internet%20Files\Content.Outlook\YIJZIBTH\Copy%20of%20Char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900"/>
            </a:pPr>
            <a:r>
              <a:rPr lang="en-US" sz="900">
                <a:latin typeface="Arial" pitchFamily="34" charset="0"/>
                <a:cs typeface="Arial" pitchFamily="34" charset="0"/>
              </a:rPr>
              <a:t>Mortgage Market  Percentage of  GDP, %</a:t>
            </a:r>
            <a:r>
              <a:rPr lang="mn-MN" sz="900">
                <a:latin typeface="Arial" pitchFamily="34" charset="0"/>
                <a:cs typeface="Arial" pitchFamily="34" charset="0"/>
              </a:rPr>
              <a:t>:  200</a:t>
            </a:r>
            <a:r>
              <a:rPr lang="en-US" sz="900">
                <a:latin typeface="Arial" pitchFamily="34" charset="0"/>
                <a:cs typeface="Arial" pitchFamily="34" charset="0"/>
              </a:rPr>
              <a:t>5</a:t>
            </a:r>
            <a:r>
              <a:rPr lang="mn-MN" sz="900">
                <a:latin typeface="Arial" pitchFamily="34" charset="0"/>
                <a:cs typeface="Arial" pitchFamily="34" charset="0"/>
              </a:rPr>
              <a:t>-20</a:t>
            </a:r>
            <a:r>
              <a:rPr lang="en-US" sz="900">
                <a:latin typeface="Arial" pitchFamily="34" charset="0"/>
                <a:cs typeface="Arial" pitchFamily="34" charset="0"/>
              </a:rPr>
              <a:t>11</a:t>
            </a:r>
            <a:r>
              <a:rPr lang="mn-MN" sz="900">
                <a:latin typeface="Arial" pitchFamily="34" charset="0"/>
                <a:cs typeface="Arial" pitchFamily="34" charset="0"/>
              </a:rPr>
              <a:t>     </a:t>
            </a:r>
          </a:p>
        </c:rich>
      </c:tx>
      <c:layout>
        <c:manualLayout>
          <c:xMode val="edge"/>
          <c:yMode val="edge"/>
          <c:x val="0.14614062622002338"/>
          <c:y val="1.4223399382336013E-2"/>
        </c:manualLayout>
      </c:layout>
      <c:overlay val="0"/>
    </c:title>
    <c:autoTitleDeleted val="0"/>
    <c:plotArea>
      <c:layout>
        <c:manualLayout>
          <c:layoutTarget val="inner"/>
          <c:xMode val="edge"/>
          <c:yMode val="edge"/>
          <c:x val="0.1542363214213614"/>
          <c:y val="7.4615098400056409E-2"/>
          <c:w val="0.65799851941584409"/>
          <c:h val="0.70219527479579813"/>
        </c:manualLayout>
      </c:layout>
      <c:barChart>
        <c:barDir val="col"/>
        <c:grouping val="clustered"/>
        <c:varyColors val="0"/>
        <c:ser>
          <c:idx val="0"/>
          <c:order val="0"/>
          <c:tx>
            <c:strRef>
              <c:f>Mortgage_GDP!$A$8</c:f>
              <c:strCache>
                <c:ptCount val="1"/>
                <c:pt idx="0">
                  <c:v>Mortgage Loan outstanding in mln MNT</c:v>
                </c:pt>
              </c:strCache>
            </c:strRef>
          </c:tx>
          <c:invertIfNegative val="0"/>
          <c:dLbls>
            <c:delete val="1"/>
          </c:dLbls>
          <c:cat>
            <c:numRef>
              <c:f>Mortgage_GDP!$B$3:$H$3</c:f>
              <c:numCache>
                <c:formatCode>General</c:formatCode>
                <c:ptCount val="7"/>
                <c:pt idx="0">
                  <c:v>2005</c:v>
                </c:pt>
                <c:pt idx="1">
                  <c:v>2006</c:v>
                </c:pt>
                <c:pt idx="2">
                  <c:v>2007</c:v>
                </c:pt>
                <c:pt idx="3">
                  <c:v>2008</c:v>
                </c:pt>
                <c:pt idx="4">
                  <c:v>2009</c:v>
                </c:pt>
                <c:pt idx="5">
                  <c:v>2010</c:v>
                </c:pt>
                <c:pt idx="6">
                  <c:v>2011</c:v>
                </c:pt>
              </c:numCache>
            </c:numRef>
          </c:cat>
          <c:val>
            <c:numRef>
              <c:f>Mortgage_GDP!$B$8:$H$8</c:f>
              <c:numCache>
                <c:formatCode>_(* #,##0.00_);_(* \(#,##0.00\);_(* "-"??_);_(@_)</c:formatCode>
                <c:ptCount val="7"/>
                <c:pt idx="0">
                  <c:v>30839.715645839944</c:v>
                </c:pt>
                <c:pt idx="1">
                  <c:v>61874.286361609986</c:v>
                </c:pt>
                <c:pt idx="2">
                  <c:v>164625.90195582999</c:v>
                </c:pt>
                <c:pt idx="3">
                  <c:v>217977.45955309732</c:v>
                </c:pt>
                <c:pt idx="4">
                  <c:v>226040.64036719198</c:v>
                </c:pt>
                <c:pt idx="5">
                  <c:v>333776.60108601302</c:v>
                </c:pt>
                <c:pt idx="6">
                  <c:v>656491.07061757077</c:v>
                </c:pt>
              </c:numCache>
            </c:numRef>
          </c:val>
        </c:ser>
        <c:dLbls>
          <c:showLegendKey val="0"/>
          <c:showVal val="1"/>
          <c:showCatName val="0"/>
          <c:showSerName val="0"/>
          <c:showPercent val="0"/>
          <c:showBubbleSize val="0"/>
        </c:dLbls>
        <c:gapWidth val="150"/>
        <c:axId val="41840640"/>
        <c:axId val="41843328"/>
      </c:barChart>
      <c:lineChart>
        <c:grouping val="standard"/>
        <c:varyColors val="0"/>
        <c:ser>
          <c:idx val="1"/>
          <c:order val="1"/>
          <c:tx>
            <c:strRef>
              <c:f>Mortgage_GDP!$A$9</c:f>
              <c:strCache>
                <c:ptCount val="1"/>
                <c:pt idx="0">
                  <c:v>Mortgage Market Percentage of GDP, %</c:v>
                </c:pt>
              </c:strCache>
            </c:strRef>
          </c:tx>
          <c:dLbls>
            <c:dLbl>
              <c:idx val="0"/>
              <c:layout>
                <c:manualLayout>
                  <c:x val="-3.3230325844270069E-2"/>
                  <c:y val="-3.1543555478725983E-2"/>
                </c:manualLayout>
              </c:layout>
              <c:dLblPos val="r"/>
              <c:showLegendKey val="0"/>
              <c:showVal val="1"/>
              <c:showCatName val="0"/>
              <c:showSerName val="0"/>
              <c:showPercent val="0"/>
              <c:showBubbleSize val="0"/>
            </c:dLbl>
            <c:dLbl>
              <c:idx val="1"/>
              <c:layout>
                <c:manualLayout>
                  <c:x val="-3.036760661100155E-2"/>
                  <c:y val="-4.4541218062027946E-2"/>
                </c:manualLayout>
              </c:layout>
              <c:dLblPos val="r"/>
              <c:showLegendKey val="0"/>
              <c:showVal val="1"/>
              <c:showCatName val="0"/>
              <c:showSerName val="0"/>
              <c:showPercent val="0"/>
              <c:showBubbleSize val="0"/>
            </c:dLbl>
            <c:dLbl>
              <c:idx val="2"/>
              <c:layout>
                <c:manualLayout>
                  <c:x val="-2.3974426271843308E-2"/>
                  <c:y val="-5.1700680272109008E-2"/>
                </c:manualLayout>
              </c:layout>
              <c:dLblPos val="r"/>
              <c:showLegendKey val="0"/>
              <c:showVal val="1"/>
              <c:showCatName val="0"/>
              <c:showSerName val="0"/>
              <c:showPercent val="0"/>
              <c:showBubbleSize val="0"/>
            </c:dLbl>
            <c:dLbl>
              <c:idx val="3"/>
              <c:layout>
                <c:manualLayout>
                  <c:x val="-4.4721885725822731E-2"/>
                  <c:y val="-3.7952948189168736E-2"/>
                </c:manualLayout>
              </c:layout>
              <c:dLblPos val="r"/>
              <c:showLegendKey val="0"/>
              <c:showVal val="1"/>
              <c:showCatName val="0"/>
              <c:showSerName val="0"/>
              <c:showPercent val="0"/>
              <c:showBubbleSize val="0"/>
            </c:dLbl>
            <c:dLbl>
              <c:idx val="4"/>
              <c:layout>
                <c:manualLayout>
                  <c:x val="0"/>
                  <c:y val="-3.1067961165048601E-2"/>
                </c:manualLayout>
              </c:layout>
              <c:dLblPos val="r"/>
              <c:showLegendKey val="0"/>
              <c:showVal val="1"/>
              <c:showCatName val="0"/>
              <c:showSerName val="0"/>
              <c:showPercent val="0"/>
              <c:showBubbleSize val="0"/>
            </c:dLbl>
            <c:dLbl>
              <c:idx val="5"/>
              <c:layout>
                <c:manualLayout>
                  <c:x val="0"/>
                  <c:y val="-2.0711974110032391E-2"/>
                </c:manualLayout>
              </c:layout>
              <c:dLblPos val="r"/>
              <c:showLegendKey val="0"/>
              <c:showVal val="1"/>
              <c:showCatName val="0"/>
              <c:showSerName val="0"/>
              <c:showPercent val="0"/>
              <c:showBubbleSize val="0"/>
            </c:dLbl>
            <c:dLbl>
              <c:idx val="6"/>
              <c:layout>
                <c:manualLayout>
                  <c:x val="-2.6830708661417416E-2"/>
                  <c:y val="-5.0604059107996119E-2"/>
                </c:manualLayout>
              </c:layout>
              <c:dLblPos val="r"/>
              <c:showLegendKey val="0"/>
              <c:showVal val="1"/>
              <c:showCatName val="0"/>
              <c:showSerName val="0"/>
              <c:showPercent val="0"/>
              <c:showBubbleSize val="0"/>
            </c:dLbl>
            <c:dLbl>
              <c:idx val="7"/>
              <c:layout>
                <c:manualLayout>
                  <c:x val="0"/>
                  <c:y val="-7.9197825910245195E-3"/>
                </c:manualLayout>
              </c:layout>
              <c:dLblPos val="r"/>
              <c:showLegendKey val="0"/>
              <c:showVal val="1"/>
              <c:showCatName val="0"/>
              <c:showSerName val="0"/>
              <c:showPercent val="0"/>
              <c:showBubbleSize val="0"/>
            </c:dLbl>
            <c:dLbl>
              <c:idx val="8"/>
              <c:layout>
                <c:manualLayout>
                  <c:x val="-3.1954351884390192E-2"/>
                  <c:y val="2.8596963182648352E-3"/>
                </c:manualLayout>
              </c:layout>
              <c:dLblPos val="ctr"/>
              <c:showLegendKey val="0"/>
              <c:showVal val="1"/>
              <c:showCatName val="0"/>
              <c:showSerName val="0"/>
              <c:showPercent val="0"/>
              <c:showBubbleSize val="0"/>
            </c:dLbl>
            <c:txPr>
              <a:bodyPr/>
              <a:lstStyle/>
              <a:p>
                <a:pPr>
                  <a:defRPr b="1"/>
                </a:pPr>
                <a:endParaRPr lang="en-US"/>
              </a:p>
            </c:txPr>
            <c:dLblPos val="ctr"/>
            <c:showLegendKey val="0"/>
            <c:showVal val="1"/>
            <c:showCatName val="0"/>
            <c:showSerName val="0"/>
            <c:showPercent val="0"/>
            <c:showBubbleSize val="0"/>
            <c:showLeaderLines val="0"/>
          </c:dLbls>
          <c:cat>
            <c:numRef>
              <c:f>Mortgage_GDP!$B$3:$H$3</c:f>
              <c:numCache>
                <c:formatCode>General</c:formatCode>
                <c:ptCount val="7"/>
                <c:pt idx="0">
                  <c:v>2005</c:v>
                </c:pt>
                <c:pt idx="1">
                  <c:v>2006</c:v>
                </c:pt>
                <c:pt idx="2">
                  <c:v>2007</c:v>
                </c:pt>
                <c:pt idx="3">
                  <c:v>2008</c:v>
                </c:pt>
                <c:pt idx="4">
                  <c:v>2009</c:v>
                </c:pt>
                <c:pt idx="5">
                  <c:v>2010</c:v>
                </c:pt>
                <c:pt idx="6">
                  <c:v>2011</c:v>
                </c:pt>
              </c:numCache>
            </c:numRef>
          </c:cat>
          <c:val>
            <c:numRef>
              <c:f>Mortgage_GDP!$B$9:$H$9</c:f>
              <c:numCache>
                <c:formatCode>0.00%</c:formatCode>
                <c:ptCount val="7"/>
                <c:pt idx="0">
                  <c:v>1.1095106077653662E-2</c:v>
                </c:pt>
                <c:pt idx="1">
                  <c:v>1.665547025575834E-2</c:v>
                </c:pt>
                <c:pt idx="2">
                  <c:v>3.6121975196013303E-2</c:v>
                </c:pt>
                <c:pt idx="3">
                  <c:v>3.6973318423024544E-2</c:v>
                </c:pt>
                <c:pt idx="4">
                  <c:v>3.7326305420785466E-2</c:v>
                </c:pt>
                <c:pt idx="5">
                  <c:v>4.0429346772694441E-2</c:v>
                </c:pt>
                <c:pt idx="6">
                  <c:v>6.0619564813526476E-2</c:v>
                </c:pt>
              </c:numCache>
            </c:numRef>
          </c:val>
          <c:smooth val="0"/>
        </c:ser>
        <c:dLbls>
          <c:showLegendKey val="0"/>
          <c:showVal val="1"/>
          <c:showCatName val="0"/>
          <c:showSerName val="0"/>
          <c:showPercent val="0"/>
          <c:showBubbleSize val="0"/>
        </c:dLbls>
        <c:marker val="1"/>
        <c:smooth val="0"/>
        <c:axId val="41849216"/>
        <c:axId val="41850752"/>
      </c:lineChart>
      <c:catAx>
        <c:axId val="41840640"/>
        <c:scaling>
          <c:orientation val="minMax"/>
        </c:scaling>
        <c:delete val="0"/>
        <c:axPos val="b"/>
        <c:numFmt formatCode="General" sourceLinked="1"/>
        <c:majorTickMark val="cross"/>
        <c:minorTickMark val="none"/>
        <c:tickLblPos val="nextTo"/>
        <c:txPr>
          <a:bodyPr rot="0" vert="horz"/>
          <a:lstStyle/>
          <a:p>
            <a:pPr>
              <a:defRPr/>
            </a:pPr>
            <a:endParaRPr lang="en-US"/>
          </a:p>
        </c:txPr>
        <c:crossAx val="41843328"/>
        <c:crosses val="autoZero"/>
        <c:auto val="0"/>
        <c:lblAlgn val="ctr"/>
        <c:lblOffset val="100"/>
        <c:tickLblSkip val="1"/>
        <c:tickMarkSkip val="1"/>
        <c:noMultiLvlLbl val="0"/>
      </c:catAx>
      <c:valAx>
        <c:axId val="41843328"/>
        <c:scaling>
          <c:orientation val="minMax"/>
        </c:scaling>
        <c:delete val="0"/>
        <c:axPos val="l"/>
        <c:majorGridlines/>
        <c:numFmt formatCode="_(* #,##0.00_);_(* \(#,##0.00\);_(* &quot;-&quot;??_);_(@_)" sourceLinked="1"/>
        <c:majorTickMark val="cross"/>
        <c:minorTickMark val="none"/>
        <c:tickLblPos val="nextTo"/>
        <c:txPr>
          <a:bodyPr rot="0" vert="horz"/>
          <a:lstStyle/>
          <a:p>
            <a:pPr>
              <a:defRPr sz="800"/>
            </a:pPr>
            <a:endParaRPr lang="en-US"/>
          </a:p>
        </c:txPr>
        <c:crossAx val="41840640"/>
        <c:crosses val="autoZero"/>
        <c:crossBetween val="between"/>
      </c:valAx>
      <c:catAx>
        <c:axId val="41849216"/>
        <c:scaling>
          <c:orientation val="minMax"/>
        </c:scaling>
        <c:delete val="1"/>
        <c:axPos val="b"/>
        <c:numFmt formatCode="General" sourceLinked="1"/>
        <c:majorTickMark val="out"/>
        <c:minorTickMark val="none"/>
        <c:tickLblPos val="none"/>
        <c:crossAx val="41850752"/>
        <c:crosses val="autoZero"/>
        <c:auto val="0"/>
        <c:lblAlgn val="ctr"/>
        <c:lblOffset val="100"/>
        <c:noMultiLvlLbl val="0"/>
      </c:catAx>
      <c:valAx>
        <c:axId val="41850752"/>
        <c:scaling>
          <c:orientation val="minMax"/>
        </c:scaling>
        <c:delete val="0"/>
        <c:axPos val="r"/>
        <c:numFmt formatCode="0.00%" sourceLinked="1"/>
        <c:majorTickMark val="cross"/>
        <c:minorTickMark val="none"/>
        <c:tickLblPos val="nextTo"/>
        <c:txPr>
          <a:bodyPr rot="0" vert="horz"/>
          <a:lstStyle/>
          <a:p>
            <a:pPr>
              <a:defRPr sz="800"/>
            </a:pPr>
            <a:endParaRPr lang="en-US"/>
          </a:p>
        </c:txPr>
        <c:crossAx val="41849216"/>
        <c:crosses val="max"/>
        <c:crossBetween val="between"/>
      </c:valAx>
    </c:plotArea>
    <c:legend>
      <c:legendPos val="r"/>
      <c:layout>
        <c:manualLayout>
          <c:xMode val="edge"/>
          <c:yMode val="edge"/>
          <c:x val="5.889989963103813E-2"/>
          <c:y val="0.88562813648294003"/>
          <c:w val="0.87352587210261379"/>
          <c:h val="8.4788370684433942E-2"/>
        </c:manualLayout>
      </c:layout>
      <c:overlay val="0"/>
      <c:txPr>
        <a:bodyPr/>
        <a:lstStyle/>
        <a:p>
          <a:pPr>
            <a:defRPr sz="800">
              <a:latin typeface="Arial Narrow" pitchFamily="34" charset="0"/>
              <a:cs typeface="Arial" pitchFamily="34" charset="0"/>
            </a:defRPr>
          </a:pPr>
          <a:endParaRPr lang="en-US"/>
        </a:p>
      </c:txPr>
    </c:legend>
    <c:plotVisOnly val="1"/>
    <c:dispBlanksAs val="gap"/>
    <c:showDLblsOverMax val="0"/>
  </c:chart>
  <c:spPr>
    <a:solidFill>
      <a:schemeClr val="lt1"/>
    </a:solidFill>
    <a:ln w="25400" cap="flat" cmpd="sng" algn="ctr">
      <a:solidFill>
        <a:schemeClr val="accent2"/>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a:latin typeface="Arial Narrow" pitchFamily="34" charset="0"/>
              </a:defRPr>
            </a:pPr>
            <a:r>
              <a:rPr lang="en-US" sz="1200">
                <a:latin typeface="Arial Narrow" pitchFamily="34" charset="0"/>
              </a:rPr>
              <a:t>Mortgage Market as a percentage of Systematic Loan Market (%) </a:t>
            </a:r>
          </a:p>
          <a:p>
            <a:pPr>
              <a:defRPr>
                <a:latin typeface="Arial Narrow" pitchFamily="34" charset="0"/>
              </a:defRPr>
            </a:pPr>
            <a:r>
              <a:rPr lang="en-US" sz="1200">
                <a:latin typeface="Arial Narrow" pitchFamily="34" charset="0"/>
              </a:rPr>
              <a:t>2005-2011</a:t>
            </a:r>
          </a:p>
        </c:rich>
      </c:tx>
      <c:layout>
        <c:manualLayout>
          <c:xMode val="edge"/>
          <c:yMode val="edge"/>
          <c:x val="0.10887213420815314"/>
          <c:y val="3.3454836611324767E-3"/>
        </c:manualLayout>
      </c:layout>
      <c:overlay val="0"/>
    </c:title>
    <c:autoTitleDeleted val="0"/>
    <c:plotArea>
      <c:layout>
        <c:manualLayout>
          <c:layoutTarget val="inner"/>
          <c:xMode val="edge"/>
          <c:yMode val="edge"/>
          <c:x val="0.16068210350498019"/>
          <c:y val="0.18348388743073887"/>
          <c:w val="0.59519800484118512"/>
          <c:h val="0.68835788520569341"/>
        </c:manualLayout>
      </c:layout>
      <c:barChart>
        <c:barDir val="col"/>
        <c:grouping val="clustered"/>
        <c:varyColors val="0"/>
        <c:ser>
          <c:idx val="0"/>
          <c:order val="0"/>
          <c:tx>
            <c:strRef>
              <c:f>'General information'!$B$6</c:f>
              <c:strCache>
                <c:ptCount val="1"/>
                <c:pt idx="0">
                  <c:v>Mortgage market debt outstanding (million MNT)</c:v>
                </c:pt>
              </c:strCache>
            </c:strRef>
          </c:tx>
          <c:invertIfNegative val="0"/>
          <c:cat>
            <c:numRef>
              <c:f>'General information'!$C$5:$I$5</c:f>
              <c:numCache>
                <c:formatCode>General</c:formatCode>
                <c:ptCount val="7"/>
                <c:pt idx="0">
                  <c:v>2005</c:v>
                </c:pt>
                <c:pt idx="1">
                  <c:v>2006</c:v>
                </c:pt>
                <c:pt idx="2">
                  <c:v>2007</c:v>
                </c:pt>
                <c:pt idx="3">
                  <c:v>2008</c:v>
                </c:pt>
                <c:pt idx="4">
                  <c:v>2009</c:v>
                </c:pt>
                <c:pt idx="5">
                  <c:v>2010</c:v>
                </c:pt>
                <c:pt idx="6">
                  <c:v>2011</c:v>
                </c:pt>
              </c:numCache>
            </c:numRef>
          </c:cat>
          <c:val>
            <c:numRef>
              <c:f>'General information'!$C$6:$I$6</c:f>
              <c:numCache>
                <c:formatCode>_(* #,##0_);_(* \(#,##0\);_(* "-"??_);_(@_)</c:formatCode>
                <c:ptCount val="7"/>
                <c:pt idx="0">
                  <c:v>30839.715645839966</c:v>
                </c:pt>
                <c:pt idx="1">
                  <c:v>74318.389536999995</c:v>
                </c:pt>
                <c:pt idx="2">
                  <c:v>164625.90195999999</c:v>
                </c:pt>
                <c:pt idx="3">
                  <c:v>217977.45955309752</c:v>
                </c:pt>
                <c:pt idx="4">
                  <c:v>226040.64036719201</c:v>
                </c:pt>
                <c:pt idx="5">
                  <c:v>333776.60108601302</c:v>
                </c:pt>
                <c:pt idx="6">
                  <c:v>656491.07061757077</c:v>
                </c:pt>
              </c:numCache>
            </c:numRef>
          </c:val>
        </c:ser>
        <c:dLbls>
          <c:showLegendKey val="0"/>
          <c:showVal val="0"/>
          <c:showCatName val="0"/>
          <c:showSerName val="0"/>
          <c:showPercent val="0"/>
          <c:showBubbleSize val="0"/>
        </c:dLbls>
        <c:gapWidth val="150"/>
        <c:axId val="148791296"/>
        <c:axId val="148792832"/>
      </c:barChart>
      <c:lineChart>
        <c:grouping val="standard"/>
        <c:varyColors val="0"/>
        <c:ser>
          <c:idx val="1"/>
          <c:order val="1"/>
          <c:tx>
            <c:strRef>
              <c:f>'General information'!$B$7</c:f>
              <c:strCache>
                <c:ptCount val="1"/>
                <c:pt idx="0">
                  <c:v>Mortgage market share of Systemic Loan market , %</c:v>
                </c:pt>
              </c:strCache>
            </c:strRef>
          </c:tx>
          <c:marker>
            <c:symbol val="none"/>
          </c:marker>
          <c:cat>
            <c:numRef>
              <c:f>'General information'!$C$5:$I$5</c:f>
              <c:numCache>
                <c:formatCode>General</c:formatCode>
                <c:ptCount val="7"/>
                <c:pt idx="0">
                  <c:v>2005</c:v>
                </c:pt>
                <c:pt idx="1">
                  <c:v>2006</c:v>
                </c:pt>
                <c:pt idx="2">
                  <c:v>2007</c:v>
                </c:pt>
                <c:pt idx="3">
                  <c:v>2008</c:v>
                </c:pt>
                <c:pt idx="4">
                  <c:v>2009</c:v>
                </c:pt>
                <c:pt idx="5">
                  <c:v>2010</c:v>
                </c:pt>
                <c:pt idx="6">
                  <c:v>2011</c:v>
                </c:pt>
              </c:numCache>
            </c:numRef>
          </c:cat>
          <c:val>
            <c:numRef>
              <c:f>'General information'!$C$7:$I$7</c:f>
              <c:numCache>
                <c:formatCode>0.00%</c:formatCode>
                <c:ptCount val="7"/>
                <c:pt idx="0">
                  <c:v>2.3116787753826348E-2</c:v>
                </c:pt>
                <c:pt idx="1">
                  <c:v>3.3318952154326335E-2</c:v>
                </c:pt>
                <c:pt idx="2">
                  <c:v>8.0068594798649334E-2</c:v>
                </c:pt>
                <c:pt idx="3">
                  <c:v>8.2706581330164688E-2</c:v>
                </c:pt>
                <c:pt idx="4">
                  <c:v>8.5880686610347909E-2</c:v>
                </c:pt>
                <c:pt idx="5">
                  <c:v>0.10723762488343083</c:v>
                </c:pt>
                <c:pt idx="6">
                  <c:v>0.11637367028732953</c:v>
                </c:pt>
              </c:numCache>
            </c:numRef>
          </c:val>
          <c:smooth val="0"/>
        </c:ser>
        <c:dLbls>
          <c:showLegendKey val="0"/>
          <c:showVal val="0"/>
          <c:showCatName val="0"/>
          <c:showSerName val="0"/>
          <c:showPercent val="0"/>
          <c:showBubbleSize val="0"/>
        </c:dLbls>
        <c:marker val="1"/>
        <c:smooth val="0"/>
        <c:axId val="148812928"/>
        <c:axId val="148794752"/>
      </c:lineChart>
      <c:catAx>
        <c:axId val="148791296"/>
        <c:scaling>
          <c:orientation val="minMax"/>
        </c:scaling>
        <c:delete val="0"/>
        <c:axPos val="b"/>
        <c:numFmt formatCode="General" sourceLinked="1"/>
        <c:majorTickMark val="none"/>
        <c:minorTickMark val="none"/>
        <c:tickLblPos val="nextTo"/>
        <c:txPr>
          <a:bodyPr/>
          <a:lstStyle/>
          <a:p>
            <a:pPr>
              <a:defRPr>
                <a:latin typeface="Arial Narrow" pitchFamily="34" charset="0"/>
              </a:defRPr>
            </a:pPr>
            <a:endParaRPr lang="en-US"/>
          </a:p>
        </c:txPr>
        <c:crossAx val="148792832"/>
        <c:crosses val="autoZero"/>
        <c:auto val="1"/>
        <c:lblAlgn val="ctr"/>
        <c:lblOffset val="100"/>
        <c:noMultiLvlLbl val="0"/>
      </c:catAx>
      <c:valAx>
        <c:axId val="148792832"/>
        <c:scaling>
          <c:orientation val="minMax"/>
        </c:scaling>
        <c:delete val="0"/>
        <c:axPos val="l"/>
        <c:majorGridlines/>
        <c:title>
          <c:tx>
            <c:rich>
              <a:bodyPr/>
              <a:lstStyle/>
              <a:p>
                <a:pPr>
                  <a:defRPr b="0">
                    <a:latin typeface="Arial Narrow" pitchFamily="34" charset="0"/>
                  </a:defRPr>
                </a:pPr>
                <a:r>
                  <a:rPr lang="en-US" b="0">
                    <a:latin typeface="Arial Narrow" pitchFamily="34" charset="0"/>
                  </a:rPr>
                  <a:t>Million MNT</a:t>
                </a:r>
              </a:p>
            </c:rich>
          </c:tx>
          <c:layout>
            <c:manualLayout>
              <c:xMode val="edge"/>
              <c:yMode val="edge"/>
              <c:x val="2.7288848509321059E-2"/>
              <c:y val="0.37279943521364906"/>
            </c:manualLayout>
          </c:layout>
          <c:overlay val="0"/>
        </c:title>
        <c:numFmt formatCode="_(* #,##0_);_(* \(#,##0\);_(* &quot;-&quot;??_);_(@_)" sourceLinked="1"/>
        <c:majorTickMark val="none"/>
        <c:minorTickMark val="none"/>
        <c:tickLblPos val="nextTo"/>
        <c:txPr>
          <a:bodyPr/>
          <a:lstStyle/>
          <a:p>
            <a:pPr>
              <a:defRPr>
                <a:latin typeface="Arial Narrow" pitchFamily="34" charset="0"/>
              </a:defRPr>
            </a:pPr>
            <a:endParaRPr lang="en-US"/>
          </a:p>
        </c:txPr>
        <c:crossAx val="148791296"/>
        <c:crosses val="autoZero"/>
        <c:crossBetween val="between"/>
      </c:valAx>
      <c:valAx>
        <c:axId val="148794752"/>
        <c:scaling>
          <c:orientation val="minMax"/>
        </c:scaling>
        <c:delete val="0"/>
        <c:axPos val="r"/>
        <c:numFmt formatCode="0.00%" sourceLinked="1"/>
        <c:majorTickMark val="out"/>
        <c:minorTickMark val="none"/>
        <c:tickLblPos val="nextTo"/>
        <c:txPr>
          <a:bodyPr/>
          <a:lstStyle/>
          <a:p>
            <a:pPr>
              <a:defRPr>
                <a:latin typeface="Arial Narrow" pitchFamily="34" charset="0"/>
              </a:defRPr>
            </a:pPr>
            <a:endParaRPr lang="en-US"/>
          </a:p>
        </c:txPr>
        <c:crossAx val="148812928"/>
        <c:crosses val="max"/>
        <c:crossBetween val="between"/>
      </c:valAx>
      <c:catAx>
        <c:axId val="148812928"/>
        <c:scaling>
          <c:orientation val="minMax"/>
        </c:scaling>
        <c:delete val="1"/>
        <c:axPos val="b"/>
        <c:numFmt formatCode="General" sourceLinked="1"/>
        <c:majorTickMark val="out"/>
        <c:minorTickMark val="none"/>
        <c:tickLblPos val="nextTo"/>
        <c:crossAx val="148794752"/>
        <c:crosses val="autoZero"/>
        <c:auto val="1"/>
        <c:lblAlgn val="ctr"/>
        <c:lblOffset val="100"/>
        <c:noMultiLvlLbl val="0"/>
      </c:catAx>
    </c:plotArea>
    <c:legend>
      <c:legendPos val="r"/>
      <c:layout>
        <c:manualLayout>
          <c:xMode val="edge"/>
          <c:yMode val="edge"/>
          <c:x val="0.82821852740376767"/>
          <c:y val="0.21240347492106937"/>
          <c:w val="0.15732312980569391"/>
          <c:h val="0.63883499251255171"/>
        </c:manualLayout>
      </c:layout>
      <c:overlay val="0"/>
      <c:txPr>
        <a:bodyPr/>
        <a:lstStyle/>
        <a:p>
          <a:pPr>
            <a:defRPr sz="800">
              <a:latin typeface="Arial Narrow" pitchFamily="34" charset="0"/>
            </a:defRPr>
          </a:pPr>
          <a:endParaRPr lang="en-US"/>
        </a:p>
      </c:txPr>
    </c:legend>
    <c:plotVisOnly val="1"/>
    <c:dispBlanksAs val="gap"/>
    <c:showDLblsOverMax val="0"/>
  </c:chart>
  <c:spPr>
    <a:solidFill>
      <a:schemeClr val="lt1"/>
    </a:solidFill>
    <a:ln w="25400" cap="flat" cmpd="sng" algn="ctr">
      <a:solidFill>
        <a:schemeClr val="accent2"/>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2012-08-06T00:00:00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81E62F-474F-49E0-9E56-4CF78EC0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2742</Words>
  <Characters>15635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ISSUES AND CHALLENGES OF MONGOLIAN MORTGAGE MARKET</vt:lpstr>
    </vt:vector>
  </TitlesOfParts>
  <Company>MONGOLIAN MORTGAGE CORPORATION LLC</Company>
  <LinksUpToDate>false</LinksUpToDate>
  <CharactersWithSpaces>18341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AND CHALLENGES OF MONGOLIAN MORTGAGE MARKET</dc:title>
  <dc:creator>onon</dc:creator>
  <cp:lastModifiedBy>Zaigham</cp:lastModifiedBy>
  <cp:revision>2</cp:revision>
  <cp:lastPrinted>2012-08-06T07:38:00Z</cp:lastPrinted>
  <dcterms:created xsi:type="dcterms:W3CDTF">2012-09-20T04:49:00Z</dcterms:created>
  <dcterms:modified xsi:type="dcterms:W3CDTF">2012-09-20T04:49:00Z</dcterms:modified>
</cp:coreProperties>
</file>